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46F8D" w14:textId="77777777" w:rsidR="00DF58D5" w:rsidRDefault="00DF58D5" w:rsidP="00DF58D5">
      <w:pPr>
        <w:tabs>
          <w:tab w:val="left" w:pos="1630"/>
          <w:tab w:val="left" w:pos="5245"/>
        </w:tabs>
        <w:spacing w:after="0" w:line="240" w:lineRule="auto"/>
        <w:jc w:val="both"/>
        <w:rPr>
          <w:rFonts w:ascii="Arial" w:eastAsia="DINPro" w:hAnsi="Arial" w:cs="Arial"/>
          <w:sz w:val="24"/>
          <w:szCs w:val="24"/>
          <w:lang w:val="et-EE"/>
        </w:rPr>
      </w:pPr>
    </w:p>
    <w:p w14:paraId="41E8454C" w14:textId="52533E59" w:rsidR="00DF58D5" w:rsidRPr="00BC616D" w:rsidRDefault="00DF58D5" w:rsidP="00DF58D5">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Pr>
          <w:rFonts w:ascii="Arial" w:eastAsia="DINPro" w:hAnsi="Arial" w:cs="Arial"/>
          <w:sz w:val="24"/>
          <w:szCs w:val="24"/>
          <w:lang w:val="et-EE"/>
        </w:rPr>
        <w:tab/>
        <w:t>Teie 08.06.2026</w:t>
      </w:r>
      <w:r w:rsidRPr="00BC616D">
        <w:rPr>
          <w:rFonts w:ascii="Arial" w:eastAsia="DINPro" w:hAnsi="Arial" w:cs="Arial"/>
          <w:sz w:val="24"/>
          <w:szCs w:val="24"/>
          <w:lang w:val="et-EE"/>
        </w:rPr>
        <w:t xml:space="preserve"> </w:t>
      </w:r>
      <w:r w:rsidRPr="00BE383C">
        <w:rPr>
          <w:rFonts w:ascii="Arial" w:eastAsia="DINPro" w:hAnsi="Arial" w:cs="Arial"/>
          <w:sz w:val="24"/>
          <w:szCs w:val="24"/>
          <w:lang w:val="et-EE"/>
        </w:rPr>
        <w:t xml:space="preserve">nr </w:t>
      </w:r>
      <w:r w:rsidRPr="00DF58D5">
        <w:rPr>
          <w:rFonts w:ascii="Arial" w:eastAsia="DINPro" w:hAnsi="Arial" w:cs="Arial"/>
          <w:sz w:val="24"/>
          <w:szCs w:val="24"/>
        </w:rPr>
        <w:t>8-1/4501-1</w:t>
      </w:r>
      <w:r w:rsidRPr="00BC616D">
        <w:rPr>
          <w:rFonts w:ascii="Arial" w:eastAsia="DINPro" w:hAnsi="Arial" w:cs="Arial"/>
          <w:sz w:val="24"/>
          <w:szCs w:val="24"/>
          <w:lang w:val="et-EE"/>
        </w:rPr>
        <w:t xml:space="preserve"> </w:t>
      </w:r>
    </w:p>
    <w:p w14:paraId="3E9D423B" w14:textId="15B20F09" w:rsidR="00DF58D5" w:rsidRPr="002F1E7F" w:rsidRDefault="003D5D04" w:rsidP="00DF58D5">
      <w:pPr>
        <w:tabs>
          <w:tab w:val="left" w:pos="5245"/>
        </w:tabs>
        <w:spacing w:after="0" w:line="240" w:lineRule="auto"/>
        <w:jc w:val="both"/>
        <w:rPr>
          <w:rFonts w:ascii="Arial" w:eastAsia="DINPro" w:hAnsi="Arial" w:cs="Arial"/>
          <w:sz w:val="24"/>
          <w:szCs w:val="24"/>
          <w:lang w:val="et-EE"/>
        </w:rPr>
      </w:pPr>
      <w:hyperlink r:id="rId8" w:history="1">
        <w:r w:rsidRPr="00D44DE7">
          <w:rPr>
            <w:rStyle w:val="Hyperlink"/>
            <w:rFonts w:ascii="Arial" w:eastAsia="DINPro" w:hAnsi="Arial" w:cs="Arial"/>
            <w:sz w:val="24"/>
            <w:szCs w:val="24"/>
            <w:lang w:val="et-EE"/>
          </w:rPr>
          <w:t>info@justdigi.ee</w:t>
        </w:r>
      </w:hyperlink>
      <w:r w:rsidR="00DF58D5">
        <w:rPr>
          <w:rFonts w:ascii="Arial" w:eastAsia="DINPro" w:hAnsi="Arial" w:cs="Arial"/>
          <w:sz w:val="24"/>
          <w:szCs w:val="24"/>
          <w:lang w:val="et-EE"/>
        </w:rPr>
        <w:t xml:space="preserve"> </w:t>
      </w:r>
      <w:r w:rsidR="00DF58D5" w:rsidRPr="002F1E7F">
        <w:rPr>
          <w:rFonts w:ascii="Arial" w:eastAsia="DINPro" w:hAnsi="Arial" w:cs="Arial"/>
          <w:sz w:val="24"/>
          <w:szCs w:val="24"/>
          <w:lang w:val="et-EE"/>
        </w:rPr>
        <w:tab/>
      </w:r>
      <w:r w:rsidR="00DF58D5" w:rsidRPr="007334A0">
        <w:rPr>
          <w:rFonts w:ascii="Arial" w:eastAsia="DINPro" w:hAnsi="Arial" w:cs="Arial"/>
          <w:sz w:val="24"/>
          <w:szCs w:val="24"/>
          <w:lang w:val="et-EE"/>
        </w:rPr>
        <w:t>Meie 0</w:t>
      </w:r>
      <w:r w:rsidR="00FA5DBF" w:rsidRPr="007334A0">
        <w:rPr>
          <w:rFonts w:ascii="Arial" w:eastAsia="DINPro" w:hAnsi="Arial" w:cs="Arial"/>
          <w:sz w:val="24"/>
          <w:szCs w:val="24"/>
          <w:lang w:val="et-EE"/>
        </w:rPr>
        <w:t>7</w:t>
      </w:r>
      <w:r w:rsidR="00DF58D5" w:rsidRPr="007334A0">
        <w:rPr>
          <w:rFonts w:ascii="Arial" w:eastAsia="DINPro" w:hAnsi="Arial" w:cs="Arial"/>
          <w:sz w:val="24"/>
          <w:szCs w:val="24"/>
          <w:lang w:val="et-EE"/>
        </w:rPr>
        <w:t>.07.2026 nr 4/</w:t>
      </w:r>
      <w:r w:rsidR="00501EA5" w:rsidRPr="007334A0">
        <w:rPr>
          <w:rFonts w:ascii="Arial" w:eastAsia="DINPro" w:hAnsi="Arial" w:cs="Arial"/>
          <w:sz w:val="24"/>
          <w:szCs w:val="24"/>
          <w:lang w:val="et-EE"/>
        </w:rPr>
        <w:t>12</w:t>
      </w:r>
      <w:r w:rsidR="009351A3" w:rsidRPr="007334A0">
        <w:rPr>
          <w:rFonts w:ascii="Arial" w:eastAsia="DINPro" w:hAnsi="Arial" w:cs="Arial"/>
          <w:sz w:val="24"/>
          <w:szCs w:val="24"/>
          <w:lang w:val="et-EE"/>
        </w:rPr>
        <w:t>5</w:t>
      </w:r>
    </w:p>
    <w:p w14:paraId="32029A31" w14:textId="77777777" w:rsidR="00DF58D5" w:rsidRPr="002F1E7F" w:rsidRDefault="00DF58D5" w:rsidP="00DF58D5">
      <w:pPr>
        <w:spacing w:after="0" w:line="240" w:lineRule="auto"/>
        <w:jc w:val="both"/>
        <w:rPr>
          <w:rFonts w:ascii="Arial" w:eastAsia="DINPro" w:hAnsi="Arial" w:cs="Arial"/>
          <w:sz w:val="24"/>
          <w:szCs w:val="24"/>
          <w:lang w:val="et-EE"/>
        </w:rPr>
      </w:pPr>
    </w:p>
    <w:p w14:paraId="28E20B97" w14:textId="77777777" w:rsidR="00DF58D5" w:rsidRPr="002F1E7F" w:rsidRDefault="00DF58D5" w:rsidP="00DF58D5">
      <w:pPr>
        <w:spacing w:after="0" w:line="240" w:lineRule="auto"/>
        <w:jc w:val="both"/>
        <w:rPr>
          <w:rFonts w:ascii="Arial" w:eastAsia="DINPro" w:hAnsi="Arial" w:cs="Arial"/>
          <w:sz w:val="24"/>
          <w:szCs w:val="24"/>
          <w:lang w:val="et-EE"/>
        </w:rPr>
      </w:pPr>
    </w:p>
    <w:p w14:paraId="02E365C5" w14:textId="77777777" w:rsidR="00DF58D5" w:rsidRPr="002F1E7F" w:rsidRDefault="00DF58D5" w:rsidP="00DF58D5">
      <w:pPr>
        <w:spacing w:after="0" w:line="240" w:lineRule="auto"/>
        <w:jc w:val="both"/>
        <w:rPr>
          <w:rFonts w:ascii="Arial" w:eastAsia="DINPro" w:hAnsi="Arial" w:cs="Arial"/>
          <w:sz w:val="24"/>
          <w:szCs w:val="24"/>
          <w:lang w:val="et-EE"/>
        </w:rPr>
      </w:pPr>
    </w:p>
    <w:p w14:paraId="68C3D5BC" w14:textId="77777777" w:rsidR="00DF58D5" w:rsidRPr="002F1E7F" w:rsidRDefault="00DF58D5" w:rsidP="00DF58D5">
      <w:pPr>
        <w:spacing w:after="0" w:line="240" w:lineRule="auto"/>
        <w:jc w:val="both"/>
        <w:rPr>
          <w:rFonts w:ascii="Arial" w:eastAsia="DINPro" w:hAnsi="Arial" w:cs="Arial"/>
          <w:sz w:val="24"/>
          <w:szCs w:val="24"/>
          <w:lang w:val="et-EE"/>
        </w:rPr>
      </w:pPr>
    </w:p>
    <w:p w14:paraId="3BEB7CB8" w14:textId="77777777" w:rsidR="00DF58D5" w:rsidRPr="002F1E7F" w:rsidRDefault="00DF58D5" w:rsidP="00DF58D5">
      <w:pPr>
        <w:spacing w:after="0" w:line="240" w:lineRule="auto"/>
        <w:jc w:val="both"/>
        <w:rPr>
          <w:rFonts w:ascii="Arial" w:eastAsia="DINPro" w:hAnsi="Arial" w:cs="Arial"/>
          <w:sz w:val="24"/>
          <w:szCs w:val="24"/>
          <w:lang w:val="et-EE"/>
        </w:rPr>
      </w:pPr>
    </w:p>
    <w:p w14:paraId="3EB71A30" w14:textId="77777777" w:rsidR="00DF58D5" w:rsidRDefault="00DF58D5" w:rsidP="00DF58D5">
      <w:pPr>
        <w:spacing w:after="0" w:line="240" w:lineRule="auto"/>
        <w:jc w:val="both"/>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Pr>
          <w:rFonts w:ascii="Arial" w:eastAsia="DINPro" w:hAnsi="Arial" w:cs="Arial"/>
          <w:b/>
          <w:sz w:val="24"/>
          <w:szCs w:val="24"/>
          <w:lang w:val="et-EE"/>
        </w:rPr>
        <w:t>t</w:t>
      </w:r>
      <w:r w:rsidRPr="00DF58D5">
        <w:rPr>
          <w:rFonts w:ascii="Arial" w:eastAsia="DINPro" w:hAnsi="Arial" w:cs="Arial"/>
          <w:b/>
          <w:sz w:val="24"/>
          <w:szCs w:val="24"/>
          <w:lang w:val="et-EE"/>
        </w:rPr>
        <w:t xml:space="preserve">äitemenetluse seadustiku </w:t>
      </w:r>
    </w:p>
    <w:p w14:paraId="69590FCA" w14:textId="636FA977" w:rsidR="00DF58D5" w:rsidRPr="002F1E7F" w:rsidRDefault="00DF58D5" w:rsidP="00DF58D5">
      <w:pPr>
        <w:spacing w:after="0" w:line="240" w:lineRule="auto"/>
        <w:jc w:val="both"/>
        <w:rPr>
          <w:rFonts w:ascii="Arial" w:eastAsia="DINPro" w:hAnsi="Arial" w:cs="Arial"/>
          <w:b/>
          <w:sz w:val="24"/>
          <w:szCs w:val="24"/>
          <w:lang w:val="et-EE"/>
        </w:rPr>
      </w:pPr>
      <w:r w:rsidRPr="00DF58D5">
        <w:rPr>
          <w:rFonts w:ascii="Arial" w:eastAsia="DINPro" w:hAnsi="Arial" w:cs="Arial"/>
          <w:b/>
          <w:sz w:val="24"/>
          <w:szCs w:val="24"/>
          <w:lang w:val="et-EE"/>
        </w:rPr>
        <w:t>muutmise seaduse</w:t>
      </w:r>
      <w:r>
        <w:rPr>
          <w:rFonts w:ascii="Arial" w:eastAsia="DINPro" w:hAnsi="Arial" w:cs="Arial"/>
          <w:b/>
          <w:sz w:val="24"/>
          <w:szCs w:val="24"/>
          <w:lang w:val="et-EE"/>
        </w:rPr>
        <w:t xml:space="preserve"> </w:t>
      </w:r>
      <w:r w:rsidRPr="00DF58D5">
        <w:rPr>
          <w:rFonts w:ascii="Arial" w:eastAsia="DINPro" w:hAnsi="Arial" w:cs="Arial"/>
          <w:b/>
          <w:sz w:val="24"/>
          <w:szCs w:val="24"/>
          <w:lang w:val="et-EE"/>
        </w:rPr>
        <w:t>eelnõu väljatöötamiskavatsus</w:t>
      </w:r>
      <w:r>
        <w:rPr>
          <w:rFonts w:ascii="Arial" w:eastAsia="DINPro" w:hAnsi="Arial" w:cs="Arial"/>
          <w:b/>
          <w:sz w:val="24"/>
          <w:szCs w:val="24"/>
          <w:lang w:val="et-EE"/>
        </w:rPr>
        <w:t>e kohta</w:t>
      </w:r>
    </w:p>
    <w:p w14:paraId="18BFAFBF" w14:textId="77777777" w:rsidR="00DF58D5" w:rsidRPr="002F1E7F" w:rsidRDefault="00DF58D5" w:rsidP="00DF58D5">
      <w:pPr>
        <w:spacing w:after="0" w:line="240" w:lineRule="auto"/>
        <w:jc w:val="both"/>
        <w:rPr>
          <w:rFonts w:ascii="Arial" w:eastAsia="DINPro" w:hAnsi="Arial" w:cs="Arial"/>
          <w:sz w:val="24"/>
          <w:szCs w:val="24"/>
          <w:lang w:val="et-EE"/>
        </w:rPr>
      </w:pPr>
    </w:p>
    <w:p w14:paraId="0CC5F36E" w14:textId="40048BFE" w:rsidR="00DF58D5" w:rsidRPr="002F1E7F" w:rsidRDefault="00DF58D5" w:rsidP="00DF58D5">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Pr>
          <w:rFonts w:ascii="Arial" w:eastAsia="DINPro" w:hAnsi="Arial" w:cs="Arial"/>
          <w:sz w:val="24"/>
          <w:szCs w:val="24"/>
          <w:lang w:val="et-EE"/>
        </w:rPr>
        <w:t>Liisa-Ly</w:t>
      </w:r>
      <w:proofErr w:type="spellEnd"/>
      <w:r>
        <w:rPr>
          <w:rFonts w:ascii="Arial" w:eastAsia="DINPro" w:hAnsi="Arial" w:cs="Arial"/>
          <w:sz w:val="24"/>
          <w:szCs w:val="24"/>
          <w:lang w:val="et-EE"/>
        </w:rPr>
        <w:t xml:space="preserve"> Pakosta</w:t>
      </w:r>
      <w:r w:rsidRPr="002F1E7F">
        <w:rPr>
          <w:rFonts w:ascii="Arial" w:eastAsia="DINPro" w:hAnsi="Arial" w:cs="Arial"/>
          <w:sz w:val="24"/>
          <w:szCs w:val="24"/>
          <w:lang w:val="et-EE"/>
        </w:rPr>
        <w:t>!</w:t>
      </w:r>
    </w:p>
    <w:p w14:paraId="2118698D" w14:textId="77777777" w:rsidR="00DF58D5" w:rsidRPr="002F1E7F" w:rsidRDefault="00DF58D5" w:rsidP="00DF58D5">
      <w:pPr>
        <w:spacing w:after="0" w:line="240" w:lineRule="auto"/>
        <w:jc w:val="both"/>
        <w:rPr>
          <w:rFonts w:ascii="Arial" w:eastAsia="DINPro" w:hAnsi="Arial" w:cs="Arial"/>
          <w:sz w:val="24"/>
          <w:szCs w:val="24"/>
          <w:lang w:val="et-EE"/>
        </w:rPr>
      </w:pPr>
    </w:p>
    <w:p w14:paraId="05978EFE" w14:textId="6E9911C1" w:rsidR="00DF58D5" w:rsidRPr="00DF58D5" w:rsidRDefault="00DF58D5" w:rsidP="00DF58D5">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Eesti Kaubandus-Tööstuskoda (edaspidi: Kaubanduskoda) tänab</w:t>
      </w:r>
      <w:r>
        <w:rPr>
          <w:rFonts w:ascii="Arial" w:eastAsia="DINPro" w:hAnsi="Arial" w:cs="Arial"/>
          <w:sz w:val="24"/>
          <w:szCs w:val="24"/>
          <w:lang w:val="et-EE"/>
        </w:rPr>
        <w:t xml:space="preserve"> Justiits- ja Digiministeeriumit võimaluse eest avaldada arvamust</w:t>
      </w:r>
      <w:r w:rsidRPr="00DF58D5">
        <w:rPr>
          <w:rFonts w:ascii="Arial" w:eastAsia="DINPro" w:hAnsi="Arial" w:cs="Arial"/>
          <w:sz w:val="24"/>
          <w:szCs w:val="24"/>
          <w:lang w:val="et-EE"/>
        </w:rPr>
        <w:t xml:space="preserve"> </w:t>
      </w:r>
      <w:r>
        <w:rPr>
          <w:rFonts w:ascii="Arial" w:eastAsia="DINPro" w:hAnsi="Arial" w:cs="Arial"/>
          <w:sz w:val="24"/>
          <w:szCs w:val="24"/>
          <w:lang w:val="et-EE"/>
        </w:rPr>
        <w:t>t</w:t>
      </w:r>
      <w:r w:rsidRPr="00DF58D5">
        <w:rPr>
          <w:rFonts w:ascii="Arial" w:eastAsia="DINPro" w:hAnsi="Arial" w:cs="Arial"/>
          <w:sz w:val="24"/>
          <w:szCs w:val="24"/>
          <w:lang w:val="et-EE"/>
        </w:rPr>
        <w:t xml:space="preserve">äitemenetluse seadustiku </w:t>
      </w:r>
      <w:r>
        <w:rPr>
          <w:rFonts w:ascii="Arial" w:eastAsia="DINPro" w:hAnsi="Arial" w:cs="Arial"/>
          <w:sz w:val="24"/>
          <w:szCs w:val="24"/>
          <w:lang w:val="et-EE"/>
        </w:rPr>
        <w:t xml:space="preserve">muutmise seaduse eelnõu </w:t>
      </w:r>
      <w:r w:rsidRPr="00DF58D5">
        <w:rPr>
          <w:rFonts w:ascii="Arial" w:eastAsia="DINPro" w:hAnsi="Arial" w:cs="Arial"/>
          <w:sz w:val="24"/>
          <w:szCs w:val="24"/>
          <w:lang w:val="et-EE"/>
        </w:rPr>
        <w:t>väljatöötamiskavatsuse</w:t>
      </w:r>
      <w:r>
        <w:rPr>
          <w:rFonts w:ascii="Arial" w:eastAsia="DINPro" w:hAnsi="Arial" w:cs="Arial"/>
          <w:sz w:val="24"/>
          <w:szCs w:val="24"/>
          <w:lang w:val="et-EE"/>
        </w:rPr>
        <w:t xml:space="preserve"> </w:t>
      </w:r>
      <w:r w:rsidR="005D2787">
        <w:rPr>
          <w:rFonts w:ascii="Arial" w:eastAsia="DINPro" w:hAnsi="Arial" w:cs="Arial"/>
          <w:sz w:val="24"/>
          <w:szCs w:val="24"/>
          <w:lang w:val="et-EE"/>
        </w:rPr>
        <w:t xml:space="preserve">(edaspidi: VTK) </w:t>
      </w:r>
      <w:r>
        <w:rPr>
          <w:rFonts w:ascii="Arial" w:eastAsia="DINPro" w:hAnsi="Arial" w:cs="Arial"/>
          <w:sz w:val="24"/>
          <w:szCs w:val="24"/>
          <w:lang w:val="et-EE"/>
        </w:rPr>
        <w:t>kohta.</w:t>
      </w:r>
      <w:r w:rsidR="007D7574">
        <w:rPr>
          <w:rFonts w:ascii="Arial" w:eastAsia="DINPro" w:hAnsi="Arial" w:cs="Arial"/>
          <w:sz w:val="24"/>
          <w:szCs w:val="24"/>
          <w:lang w:val="et-EE"/>
        </w:rPr>
        <w:t xml:space="preserve"> Järgnevalt esitame oma seisukohad</w:t>
      </w:r>
      <w:r w:rsidR="005D2787">
        <w:rPr>
          <w:rFonts w:ascii="Arial" w:eastAsia="DINPro" w:hAnsi="Arial" w:cs="Arial"/>
          <w:sz w:val="24"/>
          <w:szCs w:val="24"/>
          <w:lang w:val="et-EE"/>
        </w:rPr>
        <w:t xml:space="preserve"> VTK kohta.</w:t>
      </w:r>
    </w:p>
    <w:p w14:paraId="0E123EEF" w14:textId="77777777" w:rsidR="000A3FB6" w:rsidRPr="000A3FB6" w:rsidRDefault="000A3FB6" w:rsidP="000A3FB6">
      <w:pPr>
        <w:spacing w:before="120" w:after="0" w:line="240" w:lineRule="auto"/>
        <w:jc w:val="both"/>
        <w:rPr>
          <w:rFonts w:ascii="Arial" w:eastAsia="DINPro" w:hAnsi="Arial" w:cs="Arial"/>
          <w:sz w:val="24"/>
          <w:szCs w:val="24"/>
          <w:lang w:val="et-EE"/>
        </w:rPr>
      </w:pPr>
      <w:r w:rsidRPr="000A3FB6">
        <w:rPr>
          <w:rFonts w:ascii="Arial" w:eastAsia="DINPro" w:hAnsi="Arial" w:cs="Arial"/>
          <w:b/>
          <w:bCs/>
          <w:sz w:val="24"/>
          <w:szCs w:val="24"/>
          <w:lang w:val="et-EE"/>
        </w:rPr>
        <w:t>1. Kavandatav lahendus vähendab tööandjate halduskoormust vaid osaliselt</w:t>
      </w:r>
    </w:p>
    <w:p w14:paraId="57D977CF" w14:textId="6E29FDDF" w:rsidR="00531102" w:rsidRDefault="000A3FB6" w:rsidP="000A3FB6">
      <w:pPr>
        <w:spacing w:before="120" w:after="0" w:line="240" w:lineRule="auto"/>
        <w:jc w:val="both"/>
        <w:rPr>
          <w:rFonts w:ascii="Arial" w:eastAsia="DINPro" w:hAnsi="Arial" w:cs="Arial"/>
          <w:sz w:val="24"/>
          <w:szCs w:val="24"/>
          <w:lang w:val="et-EE"/>
        </w:rPr>
      </w:pPr>
      <w:r w:rsidRPr="00DF58D5">
        <w:rPr>
          <w:rFonts w:ascii="Arial" w:eastAsia="DINPro" w:hAnsi="Arial" w:cs="Arial"/>
          <w:sz w:val="24"/>
          <w:szCs w:val="24"/>
          <w:lang w:val="et-EE"/>
        </w:rPr>
        <w:t>VTK punkti</w:t>
      </w:r>
      <w:r>
        <w:rPr>
          <w:rFonts w:ascii="Arial" w:eastAsia="DINPro" w:hAnsi="Arial" w:cs="Arial"/>
          <w:sz w:val="24"/>
          <w:szCs w:val="24"/>
          <w:lang w:val="et-EE"/>
        </w:rPr>
        <w:t xml:space="preserve"> </w:t>
      </w:r>
      <w:r w:rsidRPr="00DF58D5">
        <w:rPr>
          <w:rFonts w:ascii="Arial" w:eastAsia="DINPro" w:hAnsi="Arial" w:cs="Arial"/>
          <w:sz w:val="24"/>
          <w:szCs w:val="24"/>
          <w:lang w:val="et-EE"/>
        </w:rPr>
        <w:t xml:space="preserve">3.3.5 kohaselt vabastatakse võlgniku suhtes kohustatud kolmas isik arestimisakti täitmise kohustusest juhul, kui väljamakse tehakse Eestis tegutsevas krediidi- või makseasutuses võlgniku nimele avatud kontole (VTK lk 12–13, p 3.3.5). </w:t>
      </w:r>
      <w:r w:rsidRPr="000A3FB6">
        <w:rPr>
          <w:rFonts w:ascii="Arial" w:eastAsia="DINPro" w:hAnsi="Arial" w:cs="Arial"/>
          <w:sz w:val="24"/>
          <w:szCs w:val="24"/>
          <w:lang w:val="et-EE"/>
        </w:rPr>
        <w:t>VTK kohaselt kohaldub tööandja vabastus üksnes juhul, kui töötasu makstakse võlgniku Eestis avatud kontole.</w:t>
      </w:r>
    </w:p>
    <w:p w14:paraId="644D30AB" w14:textId="5807770E" w:rsidR="007F7C79" w:rsidRDefault="007F7C79" w:rsidP="000A3FB6">
      <w:pPr>
        <w:spacing w:before="120" w:after="0" w:line="240" w:lineRule="auto"/>
        <w:jc w:val="both"/>
        <w:rPr>
          <w:rFonts w:ascii="Arial" w:eastAsia="DINPro" w:hAnsi="Arial" w:cs="Arial"/>
          <w:sz w:val="24"/>
          <w:szCs w:val="24"/>
          <w:lang w:val="et-EE"/>
        </w:rPr>
      </w:pPr>
      <w:r w:rsidRPr="007F7C79">
        <w:rPr>
          <w:rFonts w:ascii="Arial" w:eastAsia="DINPro" w:hAnsi="Arial" w:cs="Arial"/>
          <w:sz w:val="24"/>
          <w:szCs w:val="24"/>
          <w:lang w:val="et-EE"/>
        </w:rPr>
        <w:t>Kaubanduskoda toetab väljatöötamiskavatsuse eesmärki muuta täitemenetluses võlgniku sissetuleku arestimise kord selgemaks, lihtsamaks ja paremini toimivaks.</w:t>
      </w:r>
      <w:r w:rsidR="00326420" w:rsidRPr="00326420">
        <w:rPr>
          <w:rFonts w:ascii="Arial" w:eastAsia="DINPro" w:hAnsi="Arial" w:cs="Arial"/>
          <w:sz w:val="24"/>
          <w:szCs w:val="24"/>
          <w:lang w:val="et-EE"/>
        </w:rPr>
        <w:t xml:space="preserve"> </w:t>
      </w:r>
      <w:r w:rsidR="00326420">
        <w:rPr>
          <w:rFonts w:ascii="Arial" w:eastAsia="DINPro" w:hAnsi="Arial" w:cs="Arial"/>
          <w:sz w:val="24"/>
          <w:szCs w:val="24"/>
          <w:lang w:val="et-EE"/>
        </w:rPr>
        <w:t>Plaanitav muudatus</w:t>
      </w:r>
      <w:r w:rsidR="00326420" w:rsidRPr="00DF58D5">
        <w:rPr>
          <w:rFonts w:ascii="Arial" w:eastAsia="DINPro" w:hAnsi="Arial" w:cs="Arial"/>
          <w:sz w:val="24"/>
          <w:szCs w:val="24"/>
          <w:lang w:val="et-EE"/>
        </w:rPr>
        <w:t xml:space="preserve"> aitab vähendada ettevõtjate halduskoormust, millele Kaubanduskoda on ka varasemalt tähelepanu juhtinud</w:t>
      </w:r>
      <w:r w:rsidR="00E32ACB">
        <w:rPr>
          <w:rFonts w:ascii="Arial" w:eastAsia="DINPro" w:hAnsi="Arial" w:cs="Arial"/>
          <w:sz w:val="24"/>
          <w:szCs w:val="24"/>
          <w:lang w:val="et-EE"/>
        </w:rPr>
        <w:t>.</w:t>
      </w:r>
    </w:p>
    <w:p w14:paraId="6D05061A" w14:textId="2A42EB64" w:rsidR="000A3FB6" w:rsidRPr="000A3FB6" w:rsidRDefault="000A3FB6" w:rsidP="000A3FB6">
      <w:pPr>
        <w:spacing w:before="120" w:after="0" w:line="240" w:lineRule="auto"/>
        <w:jc w:val="both"/>
        <w:rPr>
          <w:rFonts w:ascii="Arial" w:eastAsia="DINPro" w:hAnsi="Arial" w:cs="Arial"/>
          <w:sz w:val="24"/>
          <w:szCs w:val="24"/>
          <w:lang w:val="et-EE"/>
        </w:rPr>
      </w:pPr>
      <w:r w:rsidRPr="000A3FB6">
        <w:rPr>
          <w:rFonts w:ascii="Arial" w:eastAsia="DINPro" w:hAnsi="Arial" w:cs="Arial"/>
          <w:sz w:val="24"/>
          <w:szCs w:val="24"/>
          <w:lang w:val="et-EE"/>
        </w:rPr>
        <w:t>Kui aga võlgnik esitab töötasu maksmiseks kolmanda isiku konto või välisriigi krediidi- või makseasutuse konto, ei rakendu kavandatav lihtsustus ning tööandjal säilib jätkuvalt arestimisakti täitmise kohustus</w:t>
      </w:r>
      <w:r>
        <w:rPr>
          <w:rFonts w:ascii="Arial" w:eastAsia="DINPro" w:hAnsi="Arial" w:cs="Arial"/>
          <w:sz w:val="24"/>
          <w:szCs w:val="24"/>
          <w:lang w:val="et-EE"/>
        </w:rPr>
        <w:t>.</w:t>
      </w:r>
    </w:p>
    <w:p w14:paraId="0B21D4E5" w14:textId="2BF10AC4" w:rsidR="003B6CC4" w:rsidRDefault="000A3FB6" w:rsidP="000A3FB6">
      <w:pPr>
        <w:spacing w:before="120" w:after="0" w:line="240" w:lineRule="auto"/>
        <w:jc w:val="both"/>
        <w:rPr>
          <w:rFonts w:ascii="Arial" w:hAnsi="Arial" w:cs="Arial"/>
          <w:noProof/>
          <w:sz w:val="24"/>
          <w:szCs w:val="24"/>
        </w:rPr>
      </w:pPr>
      <w:r w:rsidRPr="000A3FB6">
        <w:rPr>
          <w:rFonts w:ascii="Arial" w:eastAsia="DINPro" w:hAnsi="Arial" w:cs="Arial"/>
          <w:sz w:val="24"/>
          <w:szCs w:val="24"/>
          <w:lang w:val="et-EE"/>
        </w:rPr>
        <w:t>Kaubanduskoda leiab, et sellisel juhul jääb tööandja halduskoormus sisuliselt samaks ning kavandatav lahendus ei täida eesmärki vähendada tööandjate koormust täitemenetluses.</w:t>
      </w:r>
      <w:r w:rsidRPr="0079431D">
        <w:t xml:space="preserve"> </w:t>
      </w:r>
      <w:r w:rsidR="0079431D" w:rsidRPr="0079431D">
        <w:rPr>
          <w:rFonts w:ascii="Arial" w:hAnsi="Arial" w:cs="Arial"/>
          <w:noProof/>
          <w:sz w:val="24"/>
          <w:szCs w:val="24"/>
        </w:rPr>
        <w:t>Oluline on rõhutada, et tööandjal puudub igasugune võimalus mõjutada, millisele kontole töötaja töötasu kantakse</w:t>
      </w:r>
      <w:r w:rsidR="0079431D">
        <w:rPr>
          <w:rFonts w:ascii="Arial" w:hAnsi="Arial" w:cs="Arial"/>
          <w:noProof/>
          <w:sz w:val="24"/>
          <w:szCs w:val="24"/>
        </w:rPr>
        <w:t>, sest</w:t>
      </w:r>
      <w:r w:rsidR="0079431D" w:rsidRPr="0079431D">
        <w:rPr>
          <w:rFonts w:ascii="Arial" w:hAnsi="Arial" w:cs="Arial"/>
          <w:noProof/>
          <w:sz w:val="24"/>
          <w:szCs w:val="24"/>
        </w:rPr>
        <w:t xml:space="preserve"> see on üksnes töötaja enda otsustada. Seega ei sõltu tööandja halduskoormuse vähenemine tema enda tegevusest, vaid täielikult töötaja valikust, mis muudab kavandatava lihtsustuse tööandja seisukohast ettearvamatuks ja ebapiisavaks.</w:t>
      </w:r>
    </w:p>
    <w:p w14:paraId="1BF38AF6" w14:textId="42033928" w:rsidR="00FD4D54" w:rsidRDefault="001F795E" w:rsidP="000A3FB6">
      <w:pPr>
        <w:spacing w:before="120" w:after="0" w:line="240" w:lineRule="auto"/>
        <w:jc w:val="both"/>
        <w:rPr>
          <w:rFonts w:ascii="Arial" w:eastAsia="DINPro" w:hAnsi="Arial" w:cs="Arial"/>
          <w:sz w:val="24"/>
          <w:szCs w:val="24"/>
          <w:lang w:val="et-EE"/>
        </w:rPr>
      </w:pPr>
      <w:r w:rsidRPr="001F795E">
        <w:rPr>
          <w:rFonts w:ascii="Arial" w:eastAsia="DINPro" w:hAnsi="Arial" w:cs="Arial"/>
          <w:sz w:val="24"/>
          <w:szCs w:val="24"/>
          <w:lang w:val="et-EE"/>
        </w:rPr>
        <w:t>VTK-s puudub põhjalik ülevaade tööandjate senisest sissetuleku arestimisega seotud halduskoormusest ning selle tegelikust ulatusest.</w:t>
      </w:r>
      <w:r w:rsidR="00F42F20">
        <w:rPr>
          <w:rFonts w:ascii="Arial" w:eastAsia="DINPro" w:hAnsi="Arial" w:cs="Arial"/>
          <w:sz w:val="24"/>
          <w:szCs w:val="24"/>
          <w:lang w:val="et-EE"/>
        </w:rPr>
        <w:t xml:space="preserve"> </w:t>
      </w:r>
      <w:r w:rsidR="00E12762">
        <w:rPr>
          <w:rFonts w:ascii="Arial" w:eastAsia="DINPro" w:hAnsi="Arial" w:cs="Arial"/>
          <w:sz w:val="24"/>
          <w:szCs w:val="24"/>
          <w:lang w:val="et-EE"/>
        </w:rPr>
        <w:t>Kaubanduskoda on varasemalt hinnan</w:t>
      </w:r>
      <w:r w:rsidR="002532E0">
        <w:rPr>
          <w:rFonts w:ascii="Arial" w:eastAsia="DINPro" w:hAnsi="Arial" w:cs="Arial"/>
          <w:sz w:val="24"/>
          <w:szCs w:val="24"/>
          <w:lang w:val="et-EE"/>
        </w:rPr>
        <w:t>ud</w:t>
      </w:r>
      <w:r w:rsidR="00E12762">
        <w:rPr>
          <w:rFonts w:ascii="Arial" w:eastAsia="DINPro" w:hAnsi="Arial" w:cs="Arial"/>
          <w:sz w:val="24"/>
          <w:szCs w:val="24"/>
          <w:lang w:val="et-EE"/>
        </w:rPr>
        <w:t>, et</w:t>
      </w:r>
      <w:r w:rsidR="00751EF4" w:rsidRPr="00751EF4" w:rsidDel="00BE1644">
        <w:rPr>
          <w:rFonts w:ascii="Arial" w:eastAsia="DINPro" w:hAnsi="Arial" w:cs="Arial"/>
          <w:sz w:val="24"/>
          <w:szCs w:val="24"/>
          <w:lang w:val="et-EE"/>
        </w:rPr>
        <w:t xml:space="preserve"> </w:t>
      </w:r>
      <w:r w:rsidR="00751EF4" w:rsidRPr="00751EF4">
        <w:rPr>
          <w:rFonts w:ascii="Arial" w:eastAsia="DINPro" w:hAnsi="Arial" w:cs="Arial"/>
          <w:sz w:val="24"/>
          <w:szCs w:val="24"/>
          <w:lang w:val="et-EE"/>
        </w:rPr>
        <w:t xml:space="preserve">tööandjal </w:t>
      </w:r>
      <w:r w:rsidR="00BE1644" w:rsidRPr="00751EF4">
        <w:rPr>
          <w:rFonts w:ascii="Arial" w:eastAsia="DINPro" w:hAnsi="Arial" w:cs="Arial"/>
          <w:sz w:val="24"/>
          <w:szCs w:val="24"/>
          <w:lang w:val="et-EE"/>
        </w:rPr>
        <w:t xml:space="preserve">kulub </w:t>
      </w:r>
      <w:r w:rsidR="00751EF4" w:rsidRPr="00751EF4">
        <w:rPr>
          <w:rFonts w:ascii="Arial" w:eastAsia="DINPro" w:hAnsi="Arial" w:cs="Arial"/>
          <w:sz w:val="24"/>
          <w:szCs w:val="24"/>
          <w:lang w:val="et-EE"/>
        </w:rPr>
        <w:t xml:space="preserve">hinnanguliselt ühe töötasu arestimise akti peale esimesel kuul keskmiselt ca 95 minutit ning igal järgmisel kuul ca 10 minutit. </w:t>
      </w:r>
      <w:r w:rsidR="004A1B41">
        <w:rPr>
          <w:rFonts w:ascii="Arial" w:eastAsia="DINPro" w:hAnsi="Arial" w:cs="Arial"/>
          <w:sz w:val="24"/>
          <w:szCs w:val="24"/>
          <w:lang w:val="et-EE"/>
        </w:rPr>
        <w:t xml:space="preserve">Näiteks peab </w:t>
      </w:r>
      <w:r w:rsidR="004A1B41">
        <w:rPr>
          <w:rFonts w:ascii="Arial" w:eastAsia="DINPro" w:hAnsi="Arial" w:cs="Arial"/>
          <w:sz w:val="24"/>
          <w:szCs w:val="24"/>
          <w:lang w:val="et-EE"/>
        </w:rPr>
        <w:lastRenderedPageBreak/>
        <w:t>t</w:t>
      </w:r>
      <w:r w:rsidR="004A1B41" w:rsidRPr="004A1B41">
        <w:rPr>
          <w:rFonts w:ascii="Arial" w:eastAsia="DINPro" w:hAnsi="Arial" w:cs="Arial"/>
          <w:sz w:val="24"/>
          <w:szCs w:val="24"/>
          <w:lang w:val="et-EE"/>
        </w:rPr>
        <w:t xml:space="preserve">ööandja tutvuma töötasu arestimise aktiga ning saama selle sisust aru. Sellele kulub meie hinnangul tööandjal keskmiselt 60 minutit. Selle aja hulka läheb näiteks tutvumine töötasu arestimise aktiga, taustainfo kogumine seadusest või muust allikast, suhtlus töökaaslaste ja/või kohtutäituriga. Kui tööandjal on varasem kogemus töötasu arestimise aktiga, siis võib aktist arusaamine minna kiiremini. Samas kui tegemist on väikeettevõtjaga, kel puudub selle teema osas varasem kogemus, siis võib arusaamine, et mida ja kuidas selle aktiga edasi teha, võtta oluliselt rohkem aega. Näiteks </w:t>
      </w:r>
      <w:r w:rsidR="00012DD5">
        <w:rPr>
          <w:rFonts w:ascii="Arial" w:eastAsia="DINPro" w:hAnsi="Arial" w:cs="Arial"/>
          <w:sz w:val="24"/>
          <w:szCs w:val="24"/>
          <w:lang w:val="et-EE"/>
        </w:rPr>
        <w:t xml:space="preserve">oleme varasemalt saanud </w:t>
      </w:r>
      <w:r w:rsidR="004A1B41" w:rsidRPr="004A1B41">
        <w:rPr>
          <w:rFonts w:ascii="Arial" w:eastAsia="DINPro" w:hAnsi="Arial" w:cs="Arial"/>
          <w:sz w:val="24"/>
          <w:szCs w:val="24"/>
          <w:lang w:val="et-EE"/>
        </w:rPr>
        <w:t>tagasisidet ühelt väikeettevõtjalt, kel kulus ca 8 tundi, et akti sisust aru saada. Lisaks võib ajakulu suurendada asjaolu, et töötasu arestimise aktid on koostatud kohtutäiturite poolt erineva sõnastusega ning paljudel juhtudel on sõnastus mittejuristi jaoks väga keeruline. Ajakulu võib suureneda ka olukorras, kus tööandja saab ühe töötaja kohta mitu arestimisakti erinevatelt kohtutäituritelt.</w:t>
      </w:r>
    </w:p>
    <w:p w14:paraId="1BB78D00" w14:textId="7C214A57" w:rsidR="00B51717" w:rsidRDefault="00751EF4" w:rsidP="000A3FB6">
      <w:pPr>
        <w:spacing w:before="120" w:after="0" w:line="240" w:lineRule="auto"/>
        <w:jc w:val="both"/>
        <w:rPr>
          <w:rFonts w:ascii="Arial" w:eastAsia="DINPro" w:hAnsi="Arial" w:cs="Arial"/>
          <w:sz w:val="24"/>
          <w:szCs w:val="24"/>
          <w:lang w:val="et-EE"/>
        </w:rPr>
      </w:pPr>
      <w:r w:rsidRPr="00751EF4">
        <w:rPr>
          <w:rFonts w:ascii="Arial" w:eastAsia="DINPro" w:hAnsi="Arial" w:cs="Arial"/>
          <w:sz w:val="24"/>
          <w:szCs w:val="24"/>
          <w:lang w:val="et-EE"/>
        </w:rPr>
        <w:t xml:space="preserve">Kui eeldada, et töötasu arestimise akti täitmiseks kulub keskmiselt 12 kuud, siis on </w:t>
      </w:r>
      <w:r w:rsidRPr="00BD0BBB">
        <w:rPr>
          <w:rFonts w:ascii="Arial" w:eastAsia="DINPro" w:hAnsi="Arial" w:cs="Arial"/>
          <w:sz w:val="24"/>
          <w:szCs w:val="24"/>
          <w:lang w:val="et-EE"/>
        </w:rPr>
        <w:t xml:space="preserve">tööandja ajakulu kokku aastas </w:t>
      </w:r>
      <w:r w:rsidR="001333CC" w:rsidRPr="00BD0BBB">
        <w:rPr>
          <w:rFonts w:ascii="Arial" w:eastAsia="DINPro" w:hAnsi="Arial" w:cs="Arial"/>
          <w:sz w:val="24"/>
          <w:szCs w:val="24"/>
          <w:lang w:val="et-EE"/>
        </w:rPr>
        <w:t>205 minutit (95 + 11 × 10 = 205 minutit ehk ca 3,4 tundi</w:t>
      </w:r>
      <w:r w:rsidR="00750997" w:rsidRPr="00BD0BBB">
        <w:rPr>
          <w:rFonts w:ascii="Arial" w:eastAsia="DINPro" w:hAnsi="Arial" w:cs="Arial"/>
          <w:sz w:val="24"/>
          <w:szCs w:val="24"/>
          <w:lang w:val="et-EE"/>
        </w:rPr>
        <w:t>)</w:t>
      </w:r>
      <w:r w:rsidR="001333CC" w:rsidRPr="00BD0BBB">
        <w:rPr>
          <w:rFonts w:ascii="Arial" w:eastAsia="DINPro" w:hAnsi="Arial" w:cs="Arial"/>
          <w:sz w:val="24"/>
          <w:szCs w:val="24"/>
          <w:lang w:val="et-EE"/>
        </w:rPr>
        <w:t xml:space="preserve">. </w:t>
      </w:r>
      <w:r w:rsidRPr="00BD0BBB">
        <w:rPr>
          <w:rFonts w:ascii="Arial" w:eastAsia="DINPro" w:hAnsi="Arial" w:cs="Arial"/>
          <w:sz w:val="24"/>
          <w:szCs w:val="24"/>
          <w:lang w:val="et-EE"/>
        </w:rPr>
        <w:t>Eelda</w:t>
      </w:r>
      <w:r w:rsidR="00173094" w:rsidRPr="00BD0BBB">
        <w:rPr>
          <w:rFonts w:ascii="Arial" w:eastAsia="DINPro" w:hAnsi="Arial" w:cs="Arial"/>
          <w:sz w:val="24"/>
          <w:szCs w:val="24"/>
          <w:lang w:val="et-EE"/>
        </w:rPr>
        <w:t>me</w:t>
      </w:r>
      <w:r w:rsidRPr="00BD0BBB">
        <w:rPr>
          <w:rFonts w:ascii="Arial" w:eastAsia="DINPro" w:hAnsi="Arial" w:cs="Arial"/>
          <w:sz w:val="24"/>
          <w:szCs w:val="24"/>
          <w:lang w:val="et-EE"/>
        </w:rPr>
        <w:t>, et</w:t>
      </w:r>
      <w:r w:rsidRPr="00751EF4">
        <w:rPr>
          <w:rFonts w:ascii="Arial" w:eastAsia="DINPro" w:hAnsi="Arial" w:cs="Arial"/>
          <w:sz w:val="24"/>
          <w:szCs w:val="24"/>
          <w:lang w:val="et-EE"/>
        </w:rPr>
        <w:t xml:space="preserve"> töötasu arestimisega seotud tegevuste tegemise eest maksab tööandja oma töötajale Eesti keskmist palka</w:t>
      </w:r>
      <w:r w:rsidR="00173094">
        <w:rPr>
          <w:rFonts w:ascii="Arial" w:eastAsia="DINPro" w:hAnsi="Arial" w:cs="Arial"/>
          <w:sz w:val="24"/>
          <w:szCs w:val="24"/>
          <w:lang w:val="et-EE"/>
        </w:rPr>
        <w:t xml:space="preserve">. </w:t>
      </w:r>
      <w:r w:rsidR="00D75E8C" w:rsidRPr="00D75E8C">
        <w:rPr>
          <w:rFonts w:ascii="Arial" w:eastAsia="DINPro" w:hAnsi="Arial" w:cs="Arial"/>
          <w:sz w:val="24"/>
          <w:szCs w:val="24"/>
          <w:lang w:val="et-EE"/>
        </w:rPr>
        <w:t xml:space="preserve">Statistikaameti andmetel oli Eesti keskmine brutokuupalk 2026. aasta I kvartalis 2135 eurot. Kuna Statistikaamet ei avalda kvartali kohta otse keskmist brutotunnipalka, saab selle tuletada, jagades keskmise brutokuupalga täistööaja nominaaltundidega (2026. aasta I kvartalis keskmiselt ca 168,7 tundi kuus) </w:t>
      </w:r>
      <w:r w:rsidR="00173094">
        <w:rPr>
          <w:rFonts w:ascii="Arial" w:eastAsia="DINPro" w:hAnsi="Arial" w:cs="Arial"/>
          <w:sz w:val="24"/>
          <w:szCs w:val="24"/>
          <w:lang w:val="et-EE"/>
        </w:rPr>
        <w:t>saame</w:t>
      </w:r>
      <w:r w:rsidR="00D75E8C" w:rsidRPr="00D75E8C">
        <w:rPr>
          <w:rFonts w:ascii="Arial" w:eastAsia="DINPro" w:hAnsi="Arial" w:cs="Arial"/>
          <w:sz w:val="24"/>
          <w:szCs w:val="24"/>
          <w:lang w:val="et-EE"/>
        </w:rPr>
        <w:t xml:space="preserve"> tulemuseks ligikaudu 12,65 eurot tunnis.</w:t>
      </w:r>
    </w:p>
    <w:p w14:paraId="6F4002E9" w14:textId="6E7DDDC2" w:rsidR="00D935B6" w:rsidRDefault="003C25DF" w:rsidP="000A3FB6">
      <w:pPr>
        <w:spacing w:before="120" w:after="0" w:line="240" w:lineRule="auto"/>
        <w:jc w:val="both"/>
        <w:rPr>
          <w:rFonts w:ascii="Arial" w:eastAsia="DINPro" w:hAnsi="Arial" w:cs="Arial"/>
          <w:sz w:val="24"/>
          <w:szCs w:val="24"/>
          <w:lang w:val="et-EE"/>
        </w:rPr>
      </w:pPr>
      <w:r w:rsidRPr="003C25DF">
        <w:rPr>
          <w:rFonts w:ascii="Arial" w:eastAsia="DINPro" w:hAnsi="Arial" w:cs="Arial"/>
          <w:sz w:val="24"/>
          <w:szCs w:val="24"/>
          <w:lang w:val="et-EE"/>
        </w:rPr>
        <w:t>Kui tööandja tunnikulu on 12,65 eurot</w:t>
      </w:r>
      <w:r w:rsidR="00062885">
        <w:rPr>
          <w:rFonts w:ascii="Arial" w:eastAsia="DINPro" w:hAnsi="Arial" w:cs="Arial"/>
          <w:sz w:val="24"/>
          <w:szCs w:val="24"/>
          <w:lang w:val="et-EE"/>
        </w:rPr>
        <w:t xml:space="preserve"> </w:t>
      </w:r>
      <w:r w:rsidR="00062885" w:rsidRPr="00062885">
        <w:rPr>
          <w:rFonts w:ascii="Arial" w:eastAsia="DINPro" w:hAnsi="Arial" w:cs="Arial"/>
          <w:sz w:val="24"/>
          <w:szCs w:val="24"/>
          <w:lang w:val="et-EE"/>
        </w:rPr>
        <w:t>ning sellele lisandub tööandja tasutav sotsiaalmaks 33%, on tööjõukulu tunnis</w:t>
      </w:r>
      <w:r w:rsidR="00CD0196">
        <w:rPr>
          <w:rFonts w:ascii="Arial" w:eastAsia="DINPro" w:hAnsi="Arial" w:cs="Arial"/>
          <w:sz w:val="24"/>
          <w:szCs w:val="24"/>
          <w:lang w:val="et-EE"/>
        </w:rPr>
        <w:t xml:space="preserve"> kokku</w:t>
      </w:r>
      <w:r w:rsidR="00062885" w:rsidRPr="00062885">
        <w:rPr>
          <w:rFonts w:ascii="Arial" w:eastAsia="DINPro" w:hAnsi="Arial" w:cs="Arial"/>
          <w:sz w:val="24"/>
          <w:szCs w:val="24"/>
          <w:lang w:val="et-EE"/>
        </w:rPr>
        <w:t xml:space="preserve"> ligikaudu 16,82 eurot</w:t>
      </w:r>
      <w:r w:rsidR="00062885">
        <w:rPr>
          <w:rFonts w:ascii="Arial" w:eastAsia="DINPro" w:hAnsi="Arial" w:cs="Arial"/>
          <w:sz w:val="24"/>
          <w:szCs w:val="24"/>
          <w:lang w:val="et-EE"/>
        </w:rPr>
        <w:t>. Seega</w:t>
      </w:r>
      <w:r w:rsidRPr="003C25DF">
        <w:rPr>
          <w:rFonts w:ascii="Arial" w:eastAsia="DINPro" w:hAnsi="Arial" w:cs="Arial"/>
          <w:sz w:val="24"/>
          <w:szCs w:val="24"/>
          <w:lang w:val="et-EE"/>
        </w:rPr>
        <w:t xml:space="preserve"> on ühe arestimisakti täitmisega seotud kulu tööandjale ligikaudu </w:t>
      </w:r>
      <w:r w:rsidR="00062885" w:rsidRPr="00062885">
        <w:rPr>
          <w:rFonts w:ascii="Arial" w:eastAsia="DINPro" w:hAnsi="Arial" w:cs="Arial"/>
          <w:sz w:val="24"/>
          <w:szCs w:val="24"/>
          <w:lang w:val="et-EE"/>
        </w:rPr>
        <w:t>16,82</w:t>
      </w:r>
      <w:r w:rsidRPr="003C25DF">
        <w:rPr>
          <w:rFonts w:ascii="Arial" w:eastAsia="DINPro" w:hAnsi="Arial" w:cs="Arial"/>
          <w:sz w:val="24"/>
          <w:szCs w:val="24"/>
          <w:lang w:val="et-EE"/>
        </w:rPr>
        <w:t xml:space="preserve"> × 3,4 ≈ </w:t>
      </w:r>
      <w:r w:rsidR="00062885" w:rsidRPr="00062885">
        <w:rPr>
          <w:rFonts w:ascii="Arial" w:eastAsia="DINPro" w:hAnsi="Arial" w:cs="Arial"/>
          <w:sz w:val="24"/>
          <w:szCs w:val="24"/>
          <w:lang w:val="et-EE"/>
        </w:rPr>
        <w:t>57</w:t>
      </w:r>
      <w:r w:rsidRPr="003C25DF">
        <w:rPr>
          <w:rFonts w:ascii="Arial" w:eastAsia="DINPro" w:hAnsi="Arial" w:cs="Arial"/>
          <w:sz w:val="24"/>
          <w:szCs w:val="24"/>
          <w:lang w:val="et-EE"/>
        </w:rPr>
        <w:t xml:space="preserve"> eurot aastas. Kui kohtutäiturid esitavad tööandjatele aastas hinnanguliselt 12 000 töötasu arestimise akti, on tööandjate aastane kogukulu ligikaudu 12 000 × </w:t>
      </w:r>
      <w:r w:rsidR="005D6973">
        <w:rPr>
          <w:rFonts w:ascii="Arial" w:eastAsia="DINPro" w:hAnsi="Arial" w:cs="Arial"/>
          <w:sz w:val="24"/>
          <w:szCs w:val="24"/>
          <w:lang w:val="et-EE"/>
        </w:rPr>
        <w:t>57</w:t>
      </w:r>
      <w:r w:rsidRPr="003C25DF">
        <w:rPr>
          <w:rFonts w:ascii="Arial" w:eastAsia="DINPro" w:hAnsi="Arial" w:cs="Arial"/>
          <w:sz w:val="24"/>
          <w:szCs w:val="24"/>
          <w:lang w:val="et-EE"/>
        </w:rPr>
        <w:t xml:space="preserve"> ≈ </w:t>
      </w:r>
      <w:r w:rsidR="005D6973" w:rsidRPr="005D6973">
        <w:rPr>
          <w:rFonts w:ascii="Arial" w:eastAsia="DINPro" w:hAnsi="Arial" w:cs="Arial"/>
          <w:sz w:val="24"/>
          <w:szCs w:val="24"/>
          <w:lang w:val="et-EE"/>
        </w:rPr>
        <w:t>684</w:t>
      </w:r>
      <w:r w:rsidRPr="003C25DF">
        <w:rPr>
          <w:rFonts w:ascii="Arial" w:eastAsia="DINPro" w:hAnsi="Arial" w:cs="Arial"/>
          <w:sz w:val="24"/>
          <w:szCs w:val="24"/>
          <w:lang w:val="et-EE"/>
        </w:rPr>
        <w:t xml:space="preserve"> 000 eurot.</w:t>
      </w:r>
      <w:r w:rsidR="000530EB">
        <w:rPr>
          <w:rFonts w:ascii="Arial" w:eastAsia="DINPro" w:hAnsi="Arial" w:cs="Arial"/>
          <w:sz w:val="24"/>
          <w:szCs w:val="24"/>
          <w:lang w:val="et-EE"/>
        </w:rPr>
        <w:t xml:space="preserve"> </w:t>
      </w:r>
      <w:r w:rsidR="000530EB" w:rsidRPr="000530EB">
        <w:rPr>
          <w:rFonts w:ascii="Arial" w:eastAsia="DINPro" w:hAnsi="Arial" w:cs="Arial"/>
          <w:sz w:val="24"/>
          <w:szCs w:val="24"/>
          <w:lang w:val="et-EE"/>
        </w:rPr>
        <w:t>Kui eeldada, et töötasu arestimise akt esitatakse ligikaudu 90</w:t>
      </w:r>
      <w:r w:rsidR="000530EB">
        <w:rPr>
          <w:rFonts w:ascii="Arial" w:eastAsia="DINPro" w:hAnsi="Arial" w:cs="Arial"/>
          <w:sz w:val="24"/>
          <w:szCs w:val="24"/>
          <w:lang w:val="et-EE"/>
        </w:rPr>
        <w:t> </w:t>
      </w:r>
      <w:r w:rsidR="000530EB" w:rsidRPr="000530EB">
        <w:rPr>
          <w:rFonts w:ascii="Arial" w:eastAsia="DINPro" w:hAnsi="Arial" w:cs="Arial"/>
          <w:sz w:val="24"/>
          <w:szCs w:val="24"/>
          <w:lang w:val="et-EE"/>
        </w:rPr>
        <w:t>000</w:t>
      </w:r>
      <w:r w:rsidR="000530EB">
        <w:rPr>
          <w:rFonts w:ascii="Arial" w:eastAsia="DINPro" w:hAnsi="Arial" w:cs="Arial"/>
          <w:sz w:val="24"/>
          <w:szCs w:val="24"/>
          <w:lang w:val="et-EE"/>
        </w:rPr>
        <w:t xml:space="preserve"> (VTK lk 13)</w:t>
      </w:r>
      <w:r w:rsidR="000530EB" w:rsidRPr="000530EB">
        <w:rPr>
          <w:rFonts w:ascii="Arial" w:eastAsia="DINPro" w:hAnsi="Arial" w:cs="Arial"/>
          <w:sz w:val="24"/>
          <w:szCs w:val="24"/>
          <w:lang w:val="et-EE"/>
        </w:rPr>
        <w:t xml:space="preserve"> võlgniku suhtes, ulatuks tööandjate kogukulu hinnanguliselt ligikaudu </w:t>
      </w:r>
      <w:r w:rsidR="005D764C">
        <w:rPr>
          <w:rFonts w:ascii="Arial" w:eastAsia="DINPro" w:hAnsi="Arial" w:cs="Arial"/>
          <w:sz w:val="24"/>
          <w:szCs w:val="24"/>
          <w:lang w:val="et-EE"/>
        </w:rPr>
        <w:t>5,1</w:t>
      </w:r>
      <w:r w:rsidR="000530EB" w:rsidRPr="000530EB">
        <w:rPr>
          <w:rFonts w:ascii="Arial" w:eastAsia="DINPro" w:hAnsi="Arial" w:cs="Arial"/>
          <w:sz w:val="24"/>
          <w:szCs w:val="24"/>
          <w:lang w:val="et-EE"/>
        </w:rPr>
        <w:t xml:space="preserve"> miljoni euroni aastas.</w:t>
      </w:r>
    </w:p>
    <w:p w14:paraId="3AE72520" w14:textId="28B9C72B" w:rsidR="006A3D17" w:rsidRDefault="00F92C7E" w:rsidP="000A3FB6">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Märgime, et </w:t>
      </w:r>
      <w:r w:rsidR="00AE2D14" w:rsidRPr="00AE2D14">
        <w:rPr>
          <w:rFonts w:ascii="Arial" w:eastAsia="DINPro" w:hAnsi="Arial" w:cs="Arial"/>
          <w:sz w:val="24"/>
          <w:szCs w:val="24"/>
          <w:lang w:val="et-EE"/>
        </w:rPr>
        <w:t>kuigi VTK (</w:t>
      </w:r>
      <w:r w:rsidR="007B0595">
        <w:rPr>
          <w:rFonts w:ascii="Arial" w:eastAsia="DINPro" w:hAnsi="Arial" w:cs="Arial"/>
          <w:sz w:val="24"/>
          <w:szCs w:val="24"/>
          <w:lang w:val="et-EE"/>
        </w:rPr>
        <w:t>lk 20</w:t>
      </w:r>
      <w:r w:rsidR="00AE2D14" w:rsidRPr="00AE2D14">
        <w:rPr>
          <w:rFonts w:ascii="Arial" w:eastAsia="DINPro" w:hAnsi="Arial" w:cs="Arial"/>
          <w:sz w:val="24"/>
          <w:szCs w:val="24"/>
          <w:lang w:val="et-EE"/>
        </w:rPr>
        <w:t>–</w:t>
      </w:r>
      <w:r w:rsidR="007B0595">
        <w:rPr>
          <w:rFonts w:ascii="Arial" w:eastAsia="DINPro" w:hAnsi="Arial" w:cs="Arial"/>
          <w:sz w:val="24"/>
          <w:szCs w:val="24"/>
          <w:lang w:val="et-EE"/>
        </w:rPr>
        <w:t>21</w:t>
      </w:r>
      <w:r w:rsidR="00AE2D14" w:rsidRPr="00AE2D14">
        <w:rPr>
          <w:rFonts w:ascii="Arial" w:eastAsia="DINPro" w:hAnsi="Arial" w:cs="Arial"/>
          <w:sz w:val="24"/>
          <w:szCs w:val="24"/>
          <w:lang w:val="et-EE"/>
        </w:rPr>
        <w:t>)</w:t>
      </w:r>
      <w:r w:rsidR="007B0595" w:rsidRPr="007B0595">
        <w:rPr>
          <w:rFonts w:ascii="Arial" w:eastAsia="DINPro" w:hAnsi="Arial" w:cs="Arial"/>
          <w:sz w:val="24"/>
          <w:szCs w:val="24"/>
          <w:lang w:val="et-EE"/>
        </w:rPr>
        <w:t xml:space="preserve"> kohaselt on kavandataval muudatusel tööandjate jaoks haldus- ja töökoormust vähendav mõju, ei ole VTK-s piisavalt selgitatud, millises ulatuses see mõju praktikas realiseerub. VTK-st ei nähtu, kui suur osa </w:t>
      </w:r>
      <w:r w:rsidR="00AE2D14" w:rsidRPr="00AE2D14">
        <w:rPr>
          <w:rFonts w:ascii="Arial" w:eastAsia="DINPro" w:hAnsi="Arial" w:cs="Arial"/>
          <w:sz w:val="24"/>
          <w:szCs w:val="24"/>
          <w:lang w:val="et-EE"/>
        </w:rPr>
        <w:t>arestimisaktidest</w:t>
      </w:r>
      <w:r w:rsidR="007B0595" w:rsidRPr="007B0595">
        <w:rPr>
          <w:rFonts w:ascii="Arial" w:eastAsia="DINPro" w:hAnsi="Arial" w:cs="Arial"/>
          <w:sz w:val="24"/>
          <w:szCs w:val="24"/>
          <w:lang w:val="et-EE"/>
        </w:rPr>
        <w:t xml:space="preserve"> puudutab olukordi, kus töötasu makstakse võlgniku Eestis avatud kontole ning tööandja saaks arestimisakti täitmise kohustusest vabaneda. Samuti puudub hinnang sellele, kui sageli kasutatakse töötasu maksmiseks kolmanda isiku või välisriigi kontot, mille puhul tööandja koormus säilib. Ilma sellise analüüsita on keeruline hinnata, kas kavandatav muudatus vähendab tööandjate halduskoormust olulisel määral või üksnes piiratud ulatuses.</w:t>
      </w:r>
      <w:r w:rsidR="00EA5AF3">
        <w:rPr>
          <w:rFonts w:ascii="Arial" w:eastAsia="DINPro" w:hAnsi="Arial" w:cs="Arial"/>
          <w:sz w:val="24"/>
          <w:szCs w:val="24"/>
          <w:lang w:val="et-EE"/>
        </w:rPr>
        <w:t xml:space="preserve"> </w:t>
      </w:r>
    </w:p>
    <w:p w14:paraId="3F078761" w14:textId="77777777" w:rsidR="00EA1A74" w:rsidRDefault="002E164C" w:rsidP="000A3FB6">
      <w:pPr>
        <w:spacing w:before="120" w:after="0" w:line="240" w:lineRule="auto"/>
        <w:jc w:val="both"/>
        <w:rPr>
          <w:rFonts w:ascii="Arial" w:eastAsia="DINPro" w:hAnsi="Arial" w:cs="Arial"/>
          <w:sz w:val="24"/>
          <w:szCs w:val="24"/>
          <w:lang w:val="et-EE"/>
        </w:rPr>
      </w:pPr>
      <w:r w:rsidRPr="002E164C">
        <w:rPr>
          <w:rFonts w:ascii="Arial" w:eastAsia="DINPro" w:hAnsi="Arial" w:cs="Arial"/>
          <w:sz w:val="24"/>
          <w:szCs w:val="24"/>
          <w:lang w:val="et-EE"/>
        </w:rPr>
        <w:t>Kaubanduskoda leiab, et arvestades probleemi ulatust ja tööandjate tegelikku koormust, ei ole põhjendatud piirduda lahendusega, mille mõju sõltub üksnes töötaja tehtud konto valikust.</w:t>
      </w:r>
      <w:r w:rsidR="000A4B04">
        <w:rPr>
          <w:rFonts w:ascii="Arial" w:eastAsia="DINPro" w:hAnsi="Arial" w:cs="Arial"/>
          <w:sz w:val="24"/>
          <w:szCs w:val="24"/>
          <w:lang w:val="et-EE"/>
        </w:rPr>
        <w:t xml:space="preserve"> </w:t>
      </w:r>
      <w:r w:rsidR="00EA5AF3" w:rsidRPr="00EA5AF3">
        <w:rPr>
          <w:rFonts w:ascii="Arial" w:eastAsia="DINPro" w:hAnsi="Arial" w:cs="Arial"/>
          <w:sz w:val="24"/>
          <w:szCs w:val="24"/>
          <w:lang w:val="et-EE"/>
        </w:rPr>
        <w:t>Kui töötasu ei laeku töötaja Eestis avatud kontole, säilib tööandja senine</w:t>
      </w:r>
      <w:r w:rsidR="006E12C8">
        <w:rPr>
          <w:rFonts w:ascii="Arial" w:eastAsia="DINPro" w:hAnsi="Arial" w:cs="Arial"/>
          <w:sz w:val="24"/>
          <w:szCs w:val="24"/>
          <w:lang w:val="et-EE"/>
        </w:rPr>
        <w:t xml:space="preserve"> </w:t>
      </w:r>
      <w:r w:rsidR="00EA5AF3" w:rsidRPr="00EA5AF3">
        <w:rPr>
          <w:rFonts w:ascii="Arial" w:eastAsia="DINPro" w:hAnsi="Arial" w:cs="Arial"/>
          <w:sz w:val="24"/>
          <w:szCs w:val="24"/>
          <w:lang w:val="et-EE"/>
        </w:rPr>
        <w:t>halduskoormus, mistõttu ei ole põhjendatud jätta muljet, nagu oleks tööandja koormus kavandatava muudatuse tulemusel juba oluliselt vähenenud.</w:t>
      </w:r>
      <w:r w:rsidR="00097D2F">
        <w:rPr>
          <w:rFonts w:ascii="Arial" w:eastAsia="DINPro" w:hAnsi="Arial" w:cs="Arial"/>
          <w:sz w:val="24"/>
          <w:szCs w:val="24"/>
          <w:lang w:val="et-EE"/>
        </w:rPr>
        <w:t xml:space="preserve"> </w:t>
      </w:r>
      <w:r w:rsidR="000A3FB6" w:rsidRPr="000A3FB6">
        <w:rPr>
          <w:rFonts w:ascii="Arial" w:eastAsia="DINPro" w:hAnsi="Arial" w:cs="Arial"/>
          <w:sz w:val="24"/>
          <w:szCs w:val="24"/>
          <w:lang w:val="et-EE"/>
        </w:rPr>
        <w:t xml:space="preserve">Seetõttu on </w:t>
      </w:r>
      <w:r w:rsidR="007B0595">
        <w:rPr>
          <w:rFonts w:ascii="Arial" w:eastAsia="DINPro" w:hAnsi="Arial" w:cs="Arial"/>
          <w:sz w:val="24"/>
          <w:szCs w:val="24"/>
          <w:lang w:val="et-EE"/>
        </w:rPr>
        <w:t xml:space="preserve">Kaubanduskoja hinnangul </w:t>
      </w:r>
      <w:r w:rsidR="000A3FB6" w:rsidRPr="000A3FB6">
        <w:rPr>
          <w:rFonts w:ascii="Arial" w:eastAsia="DINPro" w:hAnsi="Arial" w:cs="Arial"/>
          <w:sz w:val="24"/>
          <w:szCs w:val="24"/>
          <w:lang w:val="et-EE"/>
        </w:rPr>
        <w:t>plaanitav muudatus üksnes osaline lahendus</w:t>
      </w:r>
      <w:r w:rsidR="007B0595">
        <w:rPr>
          <w:rFonts w:ascii="Arial" w:eastAsia="DINPro" w:hAnsi="Arial" w:cs="Arial"/>
          <w:sz w:val="24"/>
          <w:szCs w:val="24"/>
          <w:lang w:val="et-EE"/>
        </w:rPr>
        <w:t xml:space="preserve"> probleemile</w:t>
      </w:r>
      <w:r w:rsidR="000A3FB6" w:rsidRPr="000A3FB6">
        <w:rPr>
          <w:rFonts w:ascii="Arial" w:eastAsia="DINPro" w:hAnsi="Arial" w:cs="Arial"/>
          <w:sz w:val="24"/>
          <w:szCs w:val="24"/>
          <w:lang w:val="et-EE"/>
        </w:rPr>
        <w:t>.</w:t>
      </w:r>
      <w:r w:rsidR="005E1EBC" w:rsidRPr="00D14859">
        <w:t xml:space="preserve"> </w:t>
      </w:r>
      <w:r w:rsidR="00D14859" w:rsidRPr="00D14859">
        <w:rPr>
          <w:rFonts w:ascii="Arial" w:eastAsia="DINPro" w:hAnsi="Arial" w:cs="Arial"/>
          <w:sz w:val="24"/>
          <w:szCs w:val="24"/>
          <w:lang w:val="et-EE"/>
        </w:rPr>
        <w:t xml:space="preserve">Kaubanduskoda toetab VTK-s kavandatud lahendust neis olukordades, kus töötasu makstakse võlgniku Eestis avatud kontole ja tööandja saab seetõttu arestimisakti </w:t>
      </w:r>
      <w:r w:rsidR="00D14859" w:rsidRPr="00D14859">
        <w:rPr>
          <w:rFonts w:ascii="Arial" w:eastAsia="DINPro" w:hAnsi="Arial" w:cs="Arial"/>
          <w:sz w:val="24"/>
          <w:szCs w:val="24"/>
          <w:lang w:val="et-EE"/>
        </w:rPr>
        <w:lastRenderedPageBreak/>
        <w:t xml:space="preserve">täitmise kohustusest vabaneda. </w:t>
      </w:r>
      <w:r w:rsidR="00747392">
        <w:rPr>
          <w:rFonts w:ascii="Arial" w:eastAsia="DINPro" w:hAnsi="Arial" w:cs="Arial"/>
          <w:sz w:val="24"/>
          <w:szCs w:val="24"/>
          <w:lang w:val="et-EE"/>
        </w:rPr>
        <w:t>Ebamõistlikult suur koormus</w:t>
      </w:r>
      <w:r w:rsidR="00D14859" w:rsidRPr="00D14859" w:rsidDel="00747392">
        <w:rPr>
          <w:rFonts w:ascii="Arial" w:eastAsia="DINPro" w:hAnsi="Arial" w:cs="Arial"/>
          <w:sz w:val="24"/>
          <w:szCs w:val="24"/>
          <w:lang w:val="et-EE"/>
        </w:rPr>
        <w:t xml:space="preserve"> </w:t>
      </w:r>
      <w:r w:rsidR="00D14859" w:rsidRPr="00D14859">
        <w:rPr>
          <w:rFonts w:ascii="Arial" w:eastAsia="DINPro" w:hAnsi="Arial" w:cs="Arial"/>
          <w:sz w:val="24"/>
          <w:szCs w:val="24"/>
          <w:lang w:val="et-EE"/>
        </w:rPr>
        <w:t xml:space="preserve">jääb aga püsima nende juhtumite osas, kus töötasu makstakse kolmanda isiku või välisriigi kontole ning kavandatav lihtsustus ei rakendu. </w:t>
      </w:r>
    </w:p>
    <w:p w14:paraId="021B5463" w14:textId="42244799" w:rsidR="00CB3F2E" w:rsidRDefault="00EA1A74" w:rsidP="000A3FB6">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Teeme ettepaneku lisada koostatavasse seaduseelnõusse punktid, mis kaotavad tööandjate koormuse ka olukordades, kus võlgniku töötasu kantakse </w:t>
      </w:r>
      <w:r w:rsidR="00455802">
        <w:rPr>
          <w:rFonts w:ascii="Arial" w:eastAsia="DINPro" w:hAnsi="Arial" w:cs="Arial"/>
          <w:sz w:val="24"/>
          <w:szCs w:val="24"/>
          <w:lang w:val="et-EE"/>
        </w:rPr>
        <w:t>teise isiku kontole või võlgniku välisriigis avatud kontole. Pa</w:t>
      </w:r>
      <w:r w:rsidR="00FF7291">
        <w:rPr>
          <w:rFonts w:ascii="Arial" w:eastAsia="DINPro" w:hAnsi="Arial" w:cs="Arial"/>
          <w:sz w:val="24"/>
          <w:szCs w:val="24"/>
          <w:lang w:val="et-EE"/>
        </w:rPr>
        <w:t>k</w:t>
      </w:r>
      <w:r w:rsidR="00455802">
        <w:rPr>
          <w:rFonts w:ascii="Arial" w:eastAsia="DINPro" w:hAnsi="Arial" w:cs="Arial"/>
          <w:sz w:val="24"/>
          <w:szCs w:val="24"/>
          <w:lang w:val="et-EE"/>
        </w:rPr>
        <w:t xml:space="preserve">ume välja mitmeid alternatiive, mis aitavad tööandjate koormust </w:t>
      </w:r>
      <w:r w:rsidR="00CB3F2E">
        <w:rPr>
          <w:rFonts w:ascii="Arial" w:eastAsia="DINPro" w:hAnsi="Arial" w:cs="Arial"/>
          <w:sz w:val="24"/>
          <w:szCs w:val="24"/>
          <w:lang w:val="et-EE"/>
        </w:rPr>
        <w:t>vähendada.</w:t>
      </w:r>
    </w:p>
    <w:p w14:paraId="3A383B5E" w14:textId="242DED15" w:rsidR="00731E02" w:rsidRDefault="00CB3F2E" w:rsidP="00CB3F2E">
      <w:pPr>
        <w:pStyle w:val="ListParagraph"/>
        <w:numPr>
          <w:ilvl w:val="0"/>
          <w:numId w:val="2"/>
        </w:num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K</w:t>
      </w:r>
      <w:r w:rsidR="00BA7A25" w:rsidRPr="00D571EF">
        <w:rPr>
          <w:rFonts w:ascii="Arial" w:eastAsia="DINPro" w:hAnsi="Arial" w:cs="Arial"/>
          <w:sz w:val="24"/>
          <w:szCs w:val="24"/>
          <w:lang w:val="et-EE"/>
        </w:rPr>
        <w:t xml:space="preserve">ogu sissetuleku arestimisega seotud arvestuslik koormus </w:t>
      </w:r>
      <w:r w:rsidR="009648F5">
        <w:rPr>
          <w:rFonts w:ascii="Arial" w:eastAsia="DINPro" w:hAnsi="Arial" w:cs="Arial"/>
          <w:sz w:val="24"/>
          <w:szCs w:val="24"/>
          <w:lang w:val="et-EE"/>
        </w:rPr>
        <w:t>võiks jääda</w:t>
      </w:r>
      <w:r w:rsidR="009648F5" w:rsidRPr="00D571EF">
        <w:rPr>
          <w:rFonts w:ascii="Arial" w:eastAsia="DINPro" w:hAnsi="Arial" w:cs="Arial"/>
          <w:sz w:val="24"/>
          <w:szCs w:val="24"/>
          <w:lang w:val="et-EE"/>
        </w:rPr>
        <w:t xml:space="preserve"> </w:t>
      </w:r>
      <w:r w:rsidR="00BA7A25" w:rsidRPr="00D571EF">
        <w:rPr>
          <w:rFonts w:ascii="Arial" w:eastAsia="DINPro" w:hAnsi="Arial" w:cs="Arial"/>
          <w:sz w:val="24"/>
          <w:szCs w:val="24"/>
          <w:lang w:val="et-EE"/>
        </w:rPr>
        <w:t>kohtutäituri kanda. Kohtutäitur peaks ise määrama ja tööandjale teatama, milli</w:t>
      </w:r>
      <w:r w:rsidR="000B7A1A" w:rsidRPr="00D571EF">
        <w:rPr>
          <w:rFonts w:ascii="Arial" w:eastAsia="DINPro" w:hAnsi="Arial" w:cs="Arial"/>
          <w:sz w:val="24"/>
          <w:szCs w:val="24"/>
          <w:lang w:val="et-EE"/>
        </w:rPr>
        <w:t>ne</w:t>
      </w:r>
      <w:r w:rsidR="00BA7A25" w:rsidRPr="00D571EF">
        <w:rPr>
          <w:rFonts w:ascii="Arial" w:eastAsia="DINPro" w:hAnsi="Arial" w:cs="Arial"/>
          <w:sz w:val="24"/>
          <w:szCs w:val="24"/>
          <w:lang w:val="et-EE"/>
        </w:rPr>
        <w:t xml:space="preserve"> </w:t>
      </w:r>
      <w:r w:rsidR="000B7A1A" w:rsidRPr="00D571EF">
        <w:rPr>
          <w:rFonts w:ascii="Arial" w:eastAsia="DINPro" w:hAnsi="Arial" w:cs="Arial"/>
          <w:sz w:val="24"/>
          <w:szCs w:val="24"/>
          <w:lang w:val="et-EE"/>
        </w:rPr>
        <w:t>summa</w:t>
      </w:r>
      <w:r w:rsidR="00BA7A25" w:rsidRPr="00D571EF">
        <w:rPr>
          <w:rFonts w:ascii="Arial" w:eastAsia="DINPro" w:hAnsi="Arial" w:cs="Arial"/>
          <w:sz w:val="24"/>
          <w:szCs w:val="24"/>
          <w:lang w:val="et-EE"/>
        </w:rPr>
        <w:t xml:space="preserve"> tuleb </w:t>
      </w:r>
      <w:r w:rsidR="000B7A1A" w:rsidRPr="00D571EF">
        <w:rPr>
          <w:rFonts w:ascii="Arial" w:eastAsia="DINPro" w:hAnsi="Arial" w:cs="Arial"/>
          <w:sz w:val="24"/>
          <w:szCs w:val="24"/>
          <w:lang w:val="et-EE"/>
        </w:rPr>
        <w:t xml:space="preserve">tööandjal </w:t>
      </w:r>
      <w:r w:rsidR="00BA7A25" w:rsidRPr="00D571EF">
        <w:rPr>
          <w:rFonts w:ascii="Arial" w:eastAsia="DINPro" w:hAnsi="Arial" w:cs="Arial"/>
          <w:sz w:val="24"/>
          <w:szCs w:val="24"/>
          <w:lang w:val="et-EE"/>
        </w:rPr>
        <w:t>töötaja töötasust kohtutäituri kontole kanda. Tööandjale ei tohiks jääda muid ülesandeid.</w:t>
      </w:r>
      <w:r w:rsidR="00FA7942" w:rsidRPr="00D571EF">
        <w:rPr>
          <w:rFonts w:ascii="Arial" w:eastAsia="DINPro" w:hAnsi="Arial" w:cs="Arial"/>
          <w:sz w:val="24"/>
          <w:szCs w:val="24"/>
          <w:lang w:val="et-EE"/>
        </w:rPr>
        <w:t xml:space="preserve"> </w:t>
      </w:r>
      <w:r w:rsidR="00D14859" w:rsidRPr="00D571EF">
        <w:rPr>
          <w:rFonts w:ascii="Arial" w:eastAsia="DINPro" w:hAnsi="Arial" w:cs="Arial"/>
          <w:sz w:val="24"/>
          <w:szCs w:val="24"/>
          <w:lang w:val="et-EE"/>
        </w:rPr>
        <w:t>Selline lahendus aitaks vähendada tööandjate halduskoormust ka nendel juhtudel, mida VTK-s kavandatud lihtsustus ei kata, ning muudaks süsteemi tervikuna ühtlasemaks ja vähem sõltuvaks sellest, millise konto võlgnik tööandjale esitab.</w:t>
      </w:r>
      <w:r w:rsidR="00B13614">
        <w:rPr>
          <w:rFonts w:ascii="Arial" w:eastAsia="DINPro" w:hAnsi="Arial" w:cs="Arial"/>
          <w:sz w:val="24"/>
          <w:szCs w:val="24"/>
          <w:lang w:val="et-EE"/>
        </w:rPr>
        <w:t xml:space="preserve"> </w:t>
      </w:r>
      <w:r w:rsidR="009648F5">
        <w:rPr>
          <w:rFonts w:ascii="Arial" w:eastAsia="DINPro" w:hAnsi="Arial" w:cs="Arial"/>
          <w:sz w:val="24"/>
          <w:szCs w:val="24"/>
          <w:lang w:val="et-EE"/>
        </w:rPr>
        <w:t>Sellist lahendust saaks kasutada kõikidel juhtudel või üksnes</w:t>
      </w:r>
      <w:r w:rsidR="00EE6554">
        <w:rPr>
          <w:rFonts w:ascii="Arial" w:eastAsia="DINPro" w:hAnsi="Arial" w:cs="Arial"/>
          <w:sz w:val="24"/>
          <w:szCs w:val="24"/>
          <w:lang w:val="et-EE"/>
        </w:rPr>
        <w:t xml:space="preserve"> olukordades, </w:t>
      </w:r>
      <w:r w:rsidR="00AB588C">
        <w:rPr>
          <w:rFonts w:ascii="Arial" w:eastAsia="DINPro" w:hAnsi="Arial" w:cs="Arial"/>
          <w:sz w:val="24"/>
          <w:szCs w:val="24"/>
          <w:lang w:val="et-EE"/>
        </w:rPr>
        <w:t>mida VTK-s sisalduv lahendus ei kata ehk kui töötasu kantakse teisele isikule kui võlgnikust töötaja või võlgniku konto on avatud</w:t>
      </w:r>
      <w:r w:rsidR="001E59A1">
        <w:rPr>
          <w:rFonts w:ascii="Arial" w:eastAsia="DINPro" w:hAnsi="Arial" w:cs="Arial"/>
          <w:sz w:val="24"/>
          <w:szCs w:val="24"/>
          <w:lang w:val="et-EE"/>
        </w:rPr>
        <w:t xml:space="preserve"> välisriigis.</w:t>
      </w:r>
    </w:p>
    <w:p w14:paraId="6F638BE9" w14:textId="4C074126" w:rsidR="00FF2252" w:rsidRPr="00FF2252" w:rsidRDefault="00FF2252" w:rsidP="00FF2252">
      <w:pPr>
        <w:pStyle w:val="ListParagraph"/>
        <w:numPr>
          <w:ilvl w:val="0"/>
          <w:numId w:val="2"/>
        </w:numPr>
        <w:spacing w:before="120" w:after="0" w:line="240" w:lineRule="auto"/>
        <w:jc w:val="both"/>
        <w:rPr>
          <w:rFonts w:ascii="Arial" w:eastAsia="DINPro" w:hAnsi="Arial" w:cs="Arial"/>
          <w:sz w:val="24"/>
          <w:szCs w:val="24"/>
          <w:lang w:val="et-EE"/>
        </w:rPr>
      </w:pPr>
      <w:r w:rsidRPr="00FF2252">
        <w:rPr>
          <w:rFonts w:ascii="Arial" w:eastAsia="DINPro" w:hAnsi="Arial" w:cs="Arial"/>
          <w:sz w:val="24"/>
          <w:szCs w:val="24"/>
          <w:lang w:val="et-EE"/>
        </w:rPr>
        <w:t>Teise alternatiivina näeme lahendust, mille kohaselt kannaks tööandja töötaja kogu töötasu</w:t>
      </w:r>
      <w:r w:rsidR="00BB7CB1">
        <w:rPr>
          <w:rFonts w:ascii="Arial" w:eastAsia="DINPro" w:hAnsi="Arial" w:cs="Arial"/>
          <w:sz w:val="24"/>
          <w:szCs w:val="24"/>
          <w:lang w:val="et-EE"/>
        </w:rPr>
        <w:t>,</w:t>
      </w:r>
      <w:r w:rsidRPr="00FF2252">
        <w:rPr>
          <w:rFonts w:ascii="Arial" w:eastAsia="DINPro" w:hAnsi="Arial" w:cs="Arial"/>
          <w:sz w:val="24"/>
          <w:szCs w:val="24"/>
          <w:lang w:val="et-EE"/>
        </w:rPr>
        <w:t xml:space="preserve"> mitte üksnes arestitavat osa</w:t>
      </w:r>
      <w:r w:rsidR="00BB7CB1">
        <w:rPr>
          <w:rFonts w:ascii="Arial" w:eastAsia="DINPro" w:hAnsi="Arial" w:cs="Arial"/>
          <w:sz w:val="24"/>
          <w:szCs w:val="24"/>
          <w:lang w:val="et-EE"/>
        </w:rPr>
        <w:t>,</w:t>
      </w:r>
      <w:r w:rsidRPr="00FF2252">
        <w:rPr>
          <w:rFonts w:ascii="Arial" w:eastAsia="DINPro" w:hAnsi="Arial" w:cs="Arial"/>
          <w:sz w:val="24"/>
          <w:szCs w:val="24"/>
          <w:lang w:val="et-EE"/>
        </w:rPr>
        <w:t xml:space="preserve"> kohtutäituri poolt selleks otstarbeks määratud ametialasele kontole. Kohtutäitur teeks seejärel ise kinnipidamise vastavalt kehtivatele arestivaba sissetuleku ja ülalpeetavate arvestamise reeglitele ning kannaks võlgnikule kuuluva arestivaba osa viivitamatult edasi. Tööandja ülesanne piirduks sellisel juhul üksnes ühekordse, kogu töötasu suuruses ülekande tegemisega kohtutäituri poolt teatatud kontole </w:t>
      </w:r>
      <w:r w:rsidR="003316CC">
        <w:rPr>
          <w:rFonts w:ascii="Arial" w:eastAsia="DINPro" w:hAnsi="Arial" w:cs="Arial"/>
          <w:sz w:val="24"/>
          <w:szCs w:val="24"/>
          <w:lang w:val="et-EE"/>
        </w:rPr>
        <w:t xml:space="preserve">ehk </w:t>
      </w:r>
      <w:r w:rsidRPr="00FF2252">
        <w:rPr>
          <w:rFonts w:ascii="Arial" w:eastAsia="DINPro" w:hAnsi="Arial" w:cs="Arial"/>
          <w:sz w:val="24"/>
          <w:szCs w:val="24"/>
          <w:lang w:val="et-EE"/>
        </w:rPr>
        <w:t>tööandjal ei oleks vaja ise hinnata, kui suur osa väljamaksest kuulub arestimisele, ega arvestada arestivaba miinimumi, ülalpeetavate arvu ega muid täitemenetluses tähtsust omavaid asjaolusid. See vähendaks oluliselt eksimisriski, kuna kogu arvestuslik ja hindamiskoormus, mis eeldab arestimisakti sisu ja seaduse erandite tundmist, läheks üle kohtutäiturile, kellel on kõik selleks vajalikud andmed juba olemas.</w:t>
      </w:r>
    </w:p>
    <w:p w14:paraId="26688E89" w14:textId="75E5DCAA" w:rsidR="00FF2252" w:rsidRPr="00476D6D" w:rsidRDefault="00FF2252" w:rsidP="00FF2252">
      <w:pPr>
        <w:pStyle w:val="ListParagraph"/>
        <w:numPr>
          <w:ilvl w:val="0"/>
          <w:numId w:val="2"/>
        </w:numPr>
        <w:spacing w:before="120" w:after="0" w:line="240" w:lineRule="auto"/>
        <w:jc w:val="both"/>
        <w:rPr>
          <w:rFonts w:ascii="Arial" w:eastAsia="DINPro" w:hAnsi="Arial" w:cs="Arial"/>
          <w:sz w:val="24"/>
          <w:szCs w:val="24"/>
          <w:lang w:val="et-EE"/>
        </w:rPr>
      </w:pPr>
      <w:r w:rsidRPr="00FF2252">
        <w:rPr>
          <w:rFonts w:ascii="Arial" w:eastAsia="DINPro" w:hAnsi="Arial" w:cs="Arial"/>
          <w:sz w:val="24"/>
          <w:szCs w:val="24"/>
          <w:lang w:val="et-EE"/>
        </w:rPr>
        <w:t xml:space="preserve">Kolmanda alternatiivina palume kaaluda lahendust olukorra jaoks, kus võlgniku töötasu makstakse kolmanda isiku kontole. Sellisel juhul võiks tööandja edastada kohtutäiturile üksnes asjaomase konto rekvisiidid (nt konto numbri ja krediidi- või makseasutuse andmed), mille alusel kohtutäitur saaks arestida otse sellele kontole laekuva võlgniku osa, jättes ülejäänud kontojäägi ehk kolmandale isikule kuuluva osa täielikult puutumata. Tööandja ülesanne piirduks seega konto andmete ühekordse edastamisega </w:t>
      </w:r>
      <w:r w:rsidR="00500747">
        <w:rPr>
          <w:rFonts w:ascii="Arial" w:eastAsia="DINPro" w:hAnsi="Arial" w:cs="Arial"/>
          <w:sz w:val="24"/>
          <w:szCs w:val="24"/>
          <w:lang w:val="et-EE"/>
        </w:rPr>
        <w:t>ehk</w:t>
      </w:r>
      <w:r w:rsidRPr="00FF2252">
        <w:rPr>
          <w:rFonts w:ascii="Arial" w:eastAsia="DINPro" w:hAnsi="Arial" w:cs="Arial"/>
          <w:sz w:val="24"/>
          <w:szCs w:val="24"/>
          <w:lang w:val="et-EE"/>
        </w:rPr>
        <w:t xml:space="preserve"> tööandjal ei oleks vaja ise arvutada arestitavat summat ega hinnata arestimisakti kohaldamise tingimusi. Arestimine ja arestivaba summa tagamine toimuks edaspidi otse kohtutäituri ning krediidi- või makseasutuse vahel</w:t>
      </w:r>
      <w:r w:rsidR="00005963">
        <w:rPr>
          <w:rFonts w:ascii="Arial" w:eastAsia="DINPro" w:hAnsi="Arial" w:cs="Arial"/>
          <w:sz w:val="24"/>
          <w:szCs w:val="24"/>
          <w:lang w:val="et-EE"/>
        </w:rPr>
        <w:t>.</w:t>
      </w:r>
    </w:p>
    <w:p w14:paraId="0AEC308D" w14:textId="770D6D2F" w:rsidR="001E59A1" w:rsidRDefault="000A3FB6" w:rsidP="00C62E47">
      <w:pPr>
        <w:spacing w:before="120" w:after="0" w:line="240" w:lineRule="auto"/>
        <w:jc w:val="both"/>
        <w:rPr>
          <w:rFonts w:ascii="Arial" w:eastAsia="DINPro" w:hAnsi="Arial" w:cs="Arial"/>
          <w:b/>
          <w:bCs/>
          <w:sz w:val="24"/>
          <w:szCs w:val="24"/>
          <w:lang w:val="et-EE"/>
        </w:rPr>
      </w:pPr>
      <w:r w:rsidRPr="002F715C">
        <w:rPr>
          <w:rFonts w:ascii="Arial" w:eastAsia="DINPro" w:hAnsi="Arial" w:cs="Arial"/>
          <w:b/>
          <w:bCs/>
          <w:sz w:val="24"/>
          <w:szCs w:val="24"/>
          <w:u w:val="single"/>
          <w:lang w:val="et-EE"/>
        </w:rPr>
        <w:t>Kaubanduskoja</w:t>
      </w:r>
      <w:r w:rsidR="00CC08AE" w:rsidRPr="002F715C">
        <w:rPr>
          <w:rFonts w:ascii="Arial" w:eastAsia="DINPro" w:hAnsi="Arial" w:cs="Arial"/>
          <w:b/>
          <w:bCs/>
          <w:sz w:val="24"/>
          <w:szCs w:val="24"/>
          <w:u w:val="single"/>
          <w:lang w:val="et-EE"/>
        </w:rPr>
        <w:t xml:space="preserve"> </w:t>
      </w:r>
      <w:r w:rsidRPr="002F715C">
        <w:rPr>
          <w:rFonts w:ascii="Arial" w:eastAsia="DINPro" w:hAnsi="Arial" w:cs="Arial"/>
          <w:b/>
          <w:bCs/>
          <w:sz w:val="24"/>
          <w:szCs w:val="24"/>
          <w:u w:val="single"/>
          <w:lang w:val="et-EE"/>
        </w:rPr>
        <w:t>ettepanek</w:t>
      </w:r>
      <w:r w:rsidR="00CC11BF">
        <w:rPr>
          <w:rFonts w:ascii="Arial" w:eastAsia="DINPro" w:hAnsi="Arial" w:cs="Arial"/>
          <w:b/>
          <w:bCs/>
          <w:sz w:val="24"/>
          <w:szCs w:val="24"/>
          <w:u w:val="single"/>
          <w:lang w:val="et-EE"/>
        </w:rPr>
        <w:t>ud</w:t>
      </w:r>
      <w:r w:rsidRPr="00782BFC">
        <w:rPr>
          <w:rFonts w:ascii="Arial" w:eastAsia="DINPro" w:hAnsi="Arial" w:cs="Arial"/>
          <w:b/>
          <w:bCs/>
          <w:sz w:val="24"/>
          <w:szCs w:val="24"/>
          <w:lang w:val="et-EE"/>
        </w:rPr>
        <w:t>:</w:t>
      </w:r>
    </w:p>
    <w:p w14:paraId="4F8F2A8D" w14:textId="77777777" w:rsidR="00CC11BF" w:rsidRDefault="00C62E47" w:rsidP="00CC11BF">
      <w:pPr>
        <w:pStyle w:val="ListParagraph"/>
        <w:numPr>
          <w:ilvl w:val="0"/>
          <w:numId w:val="3"/>
        </w:numPr>
        <w:spacing w:before="120" w:after="0" w:line="240" w:lineRule="auto"/>
        <w:jc w:val="both"/>
        <w:rPr>
          <w:rFonts w:ascii="Arial" w:eastAsia="DINPro" w:hAnsi="Arial" w:cs="Arial"/>
          <w:b/>
          <w:bCs/>
          <w:sz w:val="24"/>
          <w:szCs w:val="24"/>
          <w:lang w:val="et-EE"/>
        </w:rPr>
      </w:pPr>
      <w:r w:rsidRPr="00D571EF">
        <w:rPr>
          <w:rFonts w:ascii="Arial" w:eastAsia="DINPro" w:hAnsi="Arial" w:cs="Arial"/>
          <w:b/>
          <w:sz w:val="24"/>
          <w:szCs w:val="24"/>
          <w:lang w:val="et-EE"/>
        </w:rPr>
        <w:lastRenderedPageBreak/>
        <w:t xml:space="preserve">Kaubanduskoda toetab VTK punktis 3.3.5 kavandatud lahendust osas, milles tööandja vabastatakse arestimisakti täitmise kohustusest juhul, kui töötasu makstakse võlgniku Eestis avatud kontole. </w:t>
      </w:r>
    </w:p>
    <w:p w14:paraId="0A56C096" w14:textId="7C66D47E" w:rsidR="00B30879" w:rsidRDefault="00C62E47" w:rsidP="00D571EF">
      <w:pPr>
        <w:pStyle w:val="ListParagraph"/>
        <w:numPr>
          <w:ilvl w:val="0"/>
          <w:numId w:val="3"/>
        </w:numPr>
        <w:spacing w:before="120" w:after="0" w:line="240" w:lineRule="auto"/>
        <w:jc w:val="both"/>
        <w:rPr>
          <w:rFonts w:ascii="Arial" w:eastAsia="DINPro" w:hAnsi="Arial" w:cs="Arial"/>
          <w:b/>
          <w:bCs/>
          <w:sz w:val="24"/>
          <w:szCs w:val="24"/>
          <w:lang w:val="et-EE"/>
        </w:rPr>
      </w:pPr>
      <w:r w:rsidRPr="00D571EF">
        <w:rPr>
          <w:rFonts w:ascii="Arial" w:eastAsia="DINPro" w:hAnsi="Arial" w:cs="Arial"/>
          <w:b/>
          <w:sz w:val="24"/>
          <w:szCs w:val="24"/>
          <w:lang w:val="et-EE"/>
        </w:rPr>
        <w:t xml:space="preserve">Samas leiame, et lahendus </w:t>
      </w:r>
      <w:r w:rsidRPr="00D571EF">
        <w:rPr>
          <w:rFonts w:ascii="Arial" w:eastAsia="DINPro" w:hAnsi="Arial" w:cs="Arial"/>
          <w:b/>
          <w:bCs/>
          <w:sz w:val="24"/>
          <w:szCs w:val="24"/>
          <w:lang w:val="et-EE"/>
        </w:rPr>
        <w:t>pea</w:t>
      </w:r>
      <w:r w:rsidR="00CC11BF">
        <w:rPr>
          <w:rFonts w:ascii="Arial" w:eastAsia="DINPro" w:hAnsi="Arial" w:cs="Arial"/>
          <w:b/>
          <w:bCs/>
          <w:sz w:val="24"/>
          <w:szCs w:val="24"/>
          <w:lang w:val="et-EE"/>
        </w:rPr>
        <w:t>b</w:t>
      </w:r>
      <w:r w:rsidRPr="00D571EF">
        <w:rPr>
          <w:rFonts w:ascii="Arial" w:eastAsia="DINPro" w:hAnsi="Arial" w:cs="Arial"/>
          <w:b/>
          <w:sz w:val="24"/>
          <w:szCs w:val="24"/>
          <w:lang w:val="et-EE"/>
        </w:rPr>
        <w:t xml:space="preserve"> hõlmama ka olukordi, kus töötasu makstakse kolmanda isiku kontole või välisriigi krediidi- või makseasutuse kontole</w:t>
      </w:r>
      <w:r w:rsidR="00CC11BF">
        <w:rPr>
          <w:rFonts w:ascii="Arial" w:eastAsia="DINPro" w:hAnsi="Arial" w:cs="Arial"/>
          <w:b/>
          <w:bCs/>
          <w:sz w:val="24"/>
          <w:szCs w:val="24"/>
          <w:lang w:val="et-EE"/>
        </w:rPr>
        <w:t xml:space="preserve">. </w:t>
      </w:r>
      <w:r w:rsidR="00B30879">
        <w:rPr>
          <w:rFonts w:ascii="Arial" w:eastAsia="DINPro" w:hAnsi="Arial" w:cs="Arial"/>
          <w:b/>
          <w:bCs/>
          <w:sz w:val="24"/>
          <w:szCs w:val="24"/>
          <w:lang w:val="et-EE"/>
        </w:rPr>
        <w:t xml:space="preserve">Selleks pakume välja mitu alternatiivset lahendust: </w:t>
      </w:r>
    </w:p>
    <w:p w14:paraId="05E69EF2" w14:textId="10ED13AD" w:rsidR="00D571EF" w:rsidRDefault="004E2BC0" w:rsidP="0021227B">
      <w:pPr>
        <w:pStyle w:val="ListParagraph"/>
        <w:numPr>
          <w:ilvl w:val="0"/>
          <w:numId w:val="1"/>
        </w:num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Esiteks t</w:t>
      </w:r>
      <w:r w:rsidR="009C658D" w:rsidRPr="00D571EF">
        <w:rPr>
          <w:rFonts w:ascii="Arial" w:eastAsia="DINPro" w:hAnsi="Arial" w:cs="Arial"/>
          <w:b/>
          <w:bCs/>
          <w:sz w:val="24"/>
          <w:szCs w:val="24"/>
          <w:lang w:val="et-EE"/>
        </w:rPr>
        <w:t xml:space="preserve">eeme ettepaneku lisada eelnõusse </w:t>
      </w:r>
      <w:r w:rsidR="0062304F" w:rsidRPr="00D571EF">
        <w:rPr>
          <w:rFonts w:ascii="Arial" w:eastAsia="DINPro" w:hAnsi="Arial" w:cs="Arial"/>
          <w:b/>
          <w:bCs/>
          <w:sz w:val="24"/>
          <w:szCs w:val="24"/>
          <w:lang w:val="et-EE"/>
        </w:rPr>
        <w:t xml:space="preserve">põhimõte, et kui tööandja kannab võlgniku töötasu muule kontole kui võlgniku Eestis asuvale kontole, siis on </w:t>
      </w:r>
      <w:r w:rsidR="00FC1B53">
        <w:rPr>
          <w:rFonts w:ascii="Arial" w:eastAsia="DINPro" w:hAnsi="Arial" w:cs="Arial"/>
          <w:b/>
          <w:bCs/>
          <w:sz w:val="24"/>
          <w:szCs w:val="24"/>
          <w:lang w:val="et-EE"/>
        </w:rPr>
        <w:t>k</w:t>
      </w:r>
      <w:r w:rsidR="00FC1B53" w:rsidRPr="00FC1B53">
        <w:rPr>
          <w:rFonts w:ascii="Arial" w:eastAsia="DINPro" w:hAnsi="Arial" w:cs="Arial"/>
          <w:b/>
          <w:bCs/>
          <w:sz w:val="24"/>
          <w:szCs w:val="24"/>
          <w:lang w:val="et-EE"/>
        </w:rPr>
        <w:t>ohtutäitur</w:t>
      </w:r>
      <w:r w:rsidR="00FC1B53">
        <w:rPr>
          <w:rFonts w:ascii="Arial" w:eastAsia="DINPro" w:hAnsi="Arial" w:cs="Arial"/>
          <w:b/>
          <w:bCs/>
          <w:sz w:val="24"/>
          <w:szCs w:val="24"/>
          <w:lang w:val="et-EE"/>
        </w:rPr>
        <w:t>il kohustus</w:t>
      </w:r>
      <w:r w:rsidR="007B1104">
        <w:rPr>
          <w:rFonts w:ascii="Arial" w:eastAsia="DINPro" w:hAnsi="Arial" w:cs="Arial"/>
          <w:b/>
          <w:bCs/>
          <w:sz w:val="24"/>
          <w:szCs w:val="24"/>
          <w:lang w:val="et-EE"/>
        </w:rPr>
        <w:t xml:space="preserve"> anda tööandjale teada, m</w:t>
      </w:r>
      <w:r w:rsidR="00FC1B53" w:rsidRPr="00FC1B53">
        <w:rPr>
          <w:rFonts w:ascii="Arial" w:eastAsia="DINPro" w:hAnsi="Arial" w:cs="Arial"/>
          <w:b/>
          <w:bCs/>
          <w:sz w:val="24"/>
          <w:szCs w:val="24"/>
          <w:lang w:val="et-EE"/>
        </w:rPr>
        <w:t>illine summa tuleb tööandjal töötaja töötasust kohtutäituri kontole kanda</w:t>
      </w:r>
      <w:r w:rsidR="007B1104">
        <w:rPr>
          <w:rFonts w:ascii="Arial" w:eastAsia="DINPro" w:hAnsi="Arial" w:cs="Arial"/>
          <w:b/>
          <w:bCs/>
          <w:sz w:val="24"/>
          <w:szCs w:val="24"/>
          <w:lang w:val="et-EE"/>
        </w:rPr>
        <w:t xml:space="preserve"> ning tööandja</w:t>
      </w:r>
      <w:r w:rsidR="00C10DA6">
        <w:rPr>
          <w:rFonts w:ascii="Arial" w:eastAsia="DINPro" w:hAnsi="Arial" w:cs="Arial"/>
          <w:b/>
          <w:bCs/>
          <w:sz w:val="24"/>
          <w:szCs w:val="24"/>
          <w:lang w:val="et-EE"/>
        </w:rPr>
        <w:t xml:space="preserve"> peab vasta</w:t>
      </w:r>
      <w:r w:rsidR="00753B4B">
        <w:rPr>
          <w:rFonts w:ascii="Arial" w:eastAsia="DINPro" w:hAnsi="Arial" w:cs="Arial"/>
          <w:b/>
          <w:bCs/>
          <w:sz w:val="24"/>
          <w:szCs w:val="24"/>
          <w:lang w:val="et-EE"/>
        </w:rPr>
        <w:t>v</w:t>
      </w:r>
      <w:r w:rsidR="00C10DA6">
        <w:rPr>
          <w:rFonts w:ascii="Arial" w:eastAsia="DINPro" w:hAnsi="Arial" w:cs="Arial"/>
          <w:b/>
          <w:bCs/>
          <w:sz w:val="24"/>
          <w:szCs w:val="24"/>
          <w:lang w:val="et-EE"/>
        </w:rPr>
        <w:t xml:space="preserve">a summa täiturile üle kandma, kuid tööandjal ei oleks muid töötasu arestimisaktiga seotud kohustusi. </w:t>
      </w:r>
    </w:p>
    <w:p w14:paraId="152FDF15" w14:textId="11625F17" w:rsidR="00900529" w:rsidRDefault="0021227B" w:rsidP="0021227B">
      <w:pPr>
        <w:pStyle w:val="ListParagraph"/>
        <w:numPr>
          <w:ilvl w:val="0"/>
          <w:numId w:val="1"/>
        </w:numPr>
        <w:spacing w:before="120" w:after="0" w:line="240" w:lineRule="auto"/>
        <w:jc w:val="both"/>
        <w:rPr>
          <w:rFonts w:ascii="Arial" w:eastAsia="DINPro" w:hAnsi="Arial" w:cs="Arial"/>
          <w:b/>
          <w:bCs/>
          <w:sz w:val="24"/>
          <w:szCs w:val="24"/>
          <w:lang w:val="et-EE"/>
        </w:rPr>
      </w:pPr>
      <w:r w:rsidRPr="00403EF9">
        <w:rPr>
          <w:rFonts w:ascii="Arial" w:eastAsia="DINPro" w:hAnsi="Arial" w:cs="Arial"/>
          <w:b/>
          <w:bCs/>
          <w:sz w:val="24"/>
          <w:szCs w:val="24"/>
          <w:lang w:val="et-EE"/>
        </w:rPr>
        <w:t xml:space="preserve">Teiseks pakume välja lahenduse, et </w:t>
      </w:r>
      <w:r w:rsidR="00C8743A" w:rsidRPr="00403EF9">
        <w:rPr>
          <w:rFonts w:ascii="Arial" w:eastAsia="DINPro" w:hAnsi="Arial" w:cs="Arial"/>
          <w:b/>
          <w:bCs/>
          <w:sz w:val="24"/>
          <w:szCs w:val="24"/>
          <w:lang w:val="et-EE"/>
        </w:rPr>
        <w:t xml:space="preserve">tööandja </w:t>
      </w:r>
      <w:r>
        <w:rPr>
          <w:rFonts w:ascii="Arial" w:eastAsia="DINPro" w:hAnsi="Arial" w:cs="Arial"/>
          <w:b/>
          <w:bCs/>
          <w:sz w:val="24"/>
          <w:szCs w:val="24"/>
          <w:lang w:val="et-EE"/>
        </w:rPr>
        <w:t>kannab</w:t>
      </w:r>
      <w:r w:rsidR="00C8743A" w:rsidRPr="00403EF9">
        <w:rPr>
          <w:rFonts w:ascii="Arial" w:eastAsia="DINPro" w:hAnsi="Arial" w:cs="Arial"/>
          <w:b/>
          <w:bCs/>
          <w:sz w:val="24"/>
          <w:szCs w:val="24"/>
          <w:lang w:val="et-EE"/>
        </w:rPr>
        <w:t xml:space="preserve"> töötaja kogu töötasu kohtutäituri poolt määratud ametialasele kontole, misjärel kohtutäitur ise teeb kinnipidamise ja kannab võlgnikule kuuluva arestivaba osa edasi. </w:t>
      </w:r>
    </w:p>
    <w:p w14:paraId="2632DEC9" w14:textId="6512B062" w:rsidR="00C8743A" w:rsidRPr="00D571EF" w:rsidRDefault="00900529" w:rsidP="00403EF9">
      <w:pPr>
        <w:pStyle w:val="ListParagraph"/>
        <w:numPr>
          <w:ilvl w:val="0"/>
          <w:numId w:val="1"/>
        </w:numPr>
        <w:spacing w:before="120" w:after="0" w:line="240" w:lineRule="auto"/>
        <w:jc w:val="both"/>
        <w:rPr>
          <w:rFonts w:ascii="Arial" w:eastAsia="DINPro" w:hAnsi="Arial" w:cs="Arial"/>
          <w:b/>
          <w:sz w:val="24"/>
          <w:szCs w:val="24"/>
          <w:lang w:val="et-EE"/>
        </w:rPr>
      </w:pPr>
      <w:r>
        <w:rPr>
          <w:rFonts w:ascii="Arial" w:eastAsia="DINPro" w:hAnsi="Arial" w:cs="Arial"/>
          <w:b/>
          <w:bCs/>
          <w:sz w:val="24"/>
          <w:szCs w:val="24"/>
          <w:lang w:val="et-EE"/>
        </w:rPr>
        <w:t xml:space="preserve">Kolmandaks palume kaaluda lahendust, et kui </w:t>
      </w:r>
      <w:r w:rsidR="00C8743A" w:rsidRPr="00D571EF">
        <w:rPr>
          <w:rFonts w:ascii="Arial" w:eastAsia="DINPro" w:hAnsi="Arial" w:cs="Arial"/>
          <w:b/>
          <w:sz w:val="24"/>
          <w:szCs w:val="24"/>
          <w:lang w:val="et-EE"/>
        </w:rPr>
        <w:t xml:space="preserve"> töötasu makstakse kolmanda isiku kontole, võiks tööandja edastada kohtutäiturile selle konto andmed, mille alusel kohtutäitur arestib otse sellele kontole laekuva võlgniku osa, jättes ülejäänud kontojäägi puutumata, ilma et tööandjal oleks vaja ise arvutusi teha. </w:t>
      </w:r>
    </w:p>
    <w:p w14:paraId="5B13C693" w14:textId="77777777" w:rsidR="00782BFC" w:rsidRPr="000A3FB6" w:rsidRDefault="00782BFC" w:rsidP="00450589">
      <w:pPr>
        <w:spacing w:before="120" w:after="0" w:line="240" w:lineRule="auto"/>
        <w:rPr>
          <w:rFonts w:ascii="Arial" w:eastAsia="DINPro" w:hAnsi="Arial" w:cs="Arial"/>
          <w:sz w:val="24"/>
          <w:szCs w:val="24"/>
          <w:lang w:val="et-EE"/>
        </w:rPr>
      </w:pPr>
    </w:p>
    <w:p w14:paraId="481DCB91" w14:textId="77777777" w:rsidR="000A3FB6" w:rsidRPr="000A3FB6" w:rsidRDefault="000A3FB6" w:rsidP="000A3FB6">
      <w:pPr>
        <w:spacing w:before="120" w:after="0" w:line="240" w:lineRule="auto"/>
        <w:jc w:val="both"/>
        <w:rPr>
          <w:rFonts w:ascii="Arial" w:eastAsia="DINPro" w:hAnsi="Arial" w:cs="Arial"/>
          <w:sz w:val="24"/>
          <w:szCs w:val="24"/>
          <w:lang w:val="et-EE"/>
        </w:rPr>
      </w:pPr>
      <w:r w:rsidRPr="000A3FB6">
        <w:rPr>
          <w:rFonts w:ascii="Arial" w:eastAsia="DINPro" w:hAnsi="Arial" w:cs="Arial"/>
          <w:b/>
          <w:bCs/>
          <w:sz w:val="24"/>
          <w:szCs w:val="24"/>
          <w:lang w:val="et-EE"/>
        </w:rPr>
        <w:t>2. Uus teavitamiskohustus suurendab ettevõtjate halduskoormust</w:t>
      </w:r>
    </w:p>
    <w:p w14:paraId="3A17498D" w14:textId="77777777" w:rsidR="000A3FB6" w:rsidRPr="000A3FB6" w:rsidRDefault="000A3FB6" w:rsidP="000A3FB6">
      <w:pPr>
        <w:spacing w:before="120" w:after="0" w:line="240" w:lineRule="auto"/>
        <w:jc w:val="both"/>
        <w:rPr>
          <w:rFonts w:ascii="Arial" w:eastAsia="DINPro" w:hAnsi="Arial" w:cs="Arial"/>
          <w:sz w:val="24"/>
          <w:szCs w:val="24"/>
          <w:lang w:val="et-EE"/>
        </w:rPr>
      </w:pPr>
      <w:r w:rsidRPr="000A3FB6">
        <w:rPr>
          <w:rFonts w:ascii="Arial" w:eastAsia="DINPro" w:hAnsi="Arial" w:cs="Arial"/>
          <w:sz w:val="24"/>
          <w:szCs w:val="24"/>
          <w:lang w:val="et-EE"/>
        </w:rPr>
        <w:t>VTK punkt 3.3.5 näeb ette uue eraldiseisva teavitamiskohustuse, mille kohaselt peab tööandja kohtutäiturile teatama, millisele kontole tehakse võlgnikule väljamakseid, ning teavitama ka konto muutumisest. Samuti nähakse ette võimalus määrata teavitamiskohustuse rikkumise korral sunniraha (VTK lk 13, p 3.3.5).</w:t>
      </w:r>
    </w:p>
    <w:p w14:paraId="2A6D71D4" w14:textId="77777777" w:rsidR="000A3FB6" w:rsidRPr="000A3FB6" w:rsidRDefault="000A3FB6" w:rsidP="000A3FB6">
      <w:pPr>
        <w:spacing w:before="120" w:after="0" w:line="240" w:lineRule="auto"/>
        <w:jc w:val="both"/>
        <w:rPr>
          <w:rFonts w:ascii="Arial" w:eastAsia="DINPro" w:hAnsi="Arial" w:cs="Arial"/>
          <w:sz w:val="24"/>
          <w:szCs w:val="24"/>
          <w:lang w:val="et-EE"/>
        </w:rPr>
      </w:pPr>
      <w:r w:rsidRPr="000A3FB6">
        <w:rPr>
          <w:rFonts w:ascii="Arial" w:eastAsia="DINPro" w:hAnsi="Arial" w:cs="Arial"/>
          <w:sz w:val="24"/>
          <w:szCs w:val="24"/>
          <w:lang w:val="et-EE"/>
        </w:rPr>
        <w:t>Kaubanduskoda leiab, et uus teavitamiskohustus suurendab ettevõtjate halduskoormust. Tööandjad peavad jälgima nii konto esmast esitamist kui ka võimalikke hilisemaid muudatusi ning tagama sellekohase info õigeaegse edastamise kohtutäiturile. Praktikas tähendab see täiendavat administratiivset koormust personali- ja raamatupidamisprotsessides.</w:t>
      </w:r>
    </w:p>
    <w:p w14:paraId="43B4900E" w14:textId="77777777" w:rsidR="000A3FB6" w:rsidRPr="000A3FB6" w:rsidRDefault="000A3FB6" w:rsidP="000A3FB6">
      <w:pPr>
        <w:spacing w:before="120" w:after="0" w:line="240" w:lineRule="auto"/>
        <w:jc w:val="both"/>
        <w:rPr>
          <w:rFonts w:ascii="Arial" w:eastAsia="DINPro" w:hAnsi="Arial" w:cs="Arial"/>
          <w:sz w:val="24"/>
          <w:szCs w:val="24"/>
          <w:lang w:val="et-EE"/>
        </w:rPr>
      </w:pPr>
      <w:r w:rsidRPr="000A3FB6">
        <w:rPr>
          <w:rFonts w:ascii="Arial" w:eastAsia="DINPro" w:hAnsi="Arial" w:cs="Arial"/>
          <w:sz w:val="24"/>
          <w:szCs w:val="24"/>
          <w:lang w:val="et-EE"/>
        </w:rPr>
        <w:t>Peame problemaatiliseks ka seda, et teavitamiskohustuse rikkumisega kaasneb sunniraha määramise võimalus. Kui kavandatava muudatuse üks eesmärk on vähendada ettevõtjate koormust, siis uue kohustuse ja sanktsioonimehhanismi loomine suurendab ettevõtjate regulatiivset koormust ning liigub sellele eesmärgile osaliselt vastupidises suunas.</w:t>
      </w:r>
    </w:p>
    <w:p w14:paraId="55B51D51" w14:textId="5D82513B" w:rsidR="00584058" w:rsidRDefault="00D47F7D" w:rsidP="00D47F7D">
      <w:pPr>
        <w:spacing w:before="120" w:after="0" w:line="240" w:lineRule="auto"/>
        <w:jc w:val="both"/>
        <w:rPr>
          <w:rFonts w:ascii="Arial" w:eastAsia="DINPro" w:hAnsi="Arial" w:cs="Arial"/>
          <w:sz w:val="24"/>
          <w:szCs w:val="24"/>
          <w:lang w:val="et-EE"/>
        </w:rPr>
      </w:pPr>
      <w:r w:rsidRPr="00D47F7D">
        <w:rPr>
          <w:rFonts w:ascii="Arial" w:eastAsia="DINPro" w:hAnsi="Arial" w:cs="Arial"/>
          <w:sz w:val="24"/>
          <w:szCs w:val="24"/>
          <w:lang w:val="et-EE"/>
        </w:rPr>
        <w:t>VTK-st võib järeldada, et teavitamiskohustuse eesmärk on võimaldada kohtutäituril kontrollida, kas tööandja vabastus arestimisakti täitmisest kohaldub ehk kas töötasu makstakse võlgniku Eestis avatud krediidi- või makseasutuse kontole või muule kontole.</w:t>
      </w:r>
      <w:r w:rsidRPr="00882FCC">
        <w:t xml:space="preserve"> </w:t>
      </w:r>
      <w:r w:rsidR="00882FCC" w:rsidRPr="00882FCC">
        <w:rPr>
          <w:rFonts w:ascii="Arial" w:eastAsia="DINPro" w:hAnsi="Arial" w:cs="Arial"/>
          <w:sz w:val="24"/>
          <w:szCs w:val="24"/>
          <w:lang w:val="et-EE"/>
        </w:rPr>
        <w:t xml:space="preserve">Kaubanduskoja hinnangul </w:t>
      </w:r>
      <w:r w:rsidR="001B2567">
        <w:rPr>
          <w:rFonts w:ascii="Arial" w:eastAsia="DINPro" w:hAnsi="Arial" w:cs="Arial"/>
          <w:sz w:val="24"/>
          <w:szCs w:val="24"/>
          <w:lang w:val="et-EE"/>
        </w:rPr>
        <w:t xml:space="preserve">piisaks sellest, </w:t>
      </w:r>
      <w:r w:rsidR="00882FCC" w:rsidRPr="00882FCC">
        <w:rPr>
          <w:rFonts w:ascii="Arial" w:eastAsia="DINPro" w:hAnsi="Arial" w:cs="Arial"/>
          <w:sz w:val="24"/>
          <w:szCs w:val="24"/>
          <w:lang w:val="et-EE"/>
        </w:rPr>
        <w:t xml:space="preserve">kui tööandja teavitab kohtutäiturit </w:t>
      </w:r>
      <w:r w:rsidR="001B2567">
        <w:rPr>
          <w:rFonts w:ascii="Arial" w:eastAsia="DINPro" w:hAnsi="Arial" w:cs="Arial"/>
          <w:sz w:val="24"/>
          <w:szCs w:val="24"/>
          <w:lang w:val="et-EE"/>
        </w:rPr>
        <w:t xml:space="preserve">üksnes </w:t>
      </w:r>
      <w:r w:rsidR="00882FCC" w:rsidRPr="00882FCC">
        <w:rPr>
          <w:rFonts w:ascii="Arial" w:eastAsia="DINPro" w:hAnsi="Arial" w:cs="Arial"/>
          <w:sz w:val="24"/>
          <w:szCs w:val="24"/>
          <w:lang w:val="et-EE"/>
        </w:rPr>
        <w:t>sellest, et võlgniku töötasu kantakse võlgniku Eestis avatud kontole</w:t>
      </w:r>
      <w:r w:rsidR="001B2567">
        <w:rPr>
          <w:rFonts w:ascii="Arial" w:eastAsia="DINPro" w:hAnsi="Arial" w:cs="Arial"/>
          <w:sz w:val="24"/>
          <w:szCs w:val="24"/>
          <w:lang w:val="et-EE"/>
        </w:rPr>
        <w:t xml:space="preserve">. </w:t>
      </w:r>
      <w:r w:rsidR="00882FCC" w:rsidRPr="00882FCC">
        <w:rPr>
          <w:rFonts w:ascii="Arial" w:eastAsia="DINPro" w:hAnsi="Arial" w:cs="Arial"/>
          <w:sz w:val="24"/>
          <w:szCs w:val="24"/>
          <w:lang w:val="et-EE"/>
        </w:rPr>
        <w:t xml:space="preserve">Muudel juhtudel, </w:t>
      </w:r>
      <w:r w:rsidR="00882FCC" w:rsidRPr="00882FCC">
        <w:rPr>
          <w:rFonts w:ascii="Arial" w:eastAsia="DINPro" w:hAnsi="Arial" w:cs="Arial"/>
          <w:sz w:val="24"/>
          <w:szCs w:val="24"/>
          <w:lang w:val="et-EE"/>
        </w:rPr>
        <w:lastRenderedPageBreak/>
        <w:t>kui tööandja sellist teavet ei esita, võib eeldada, et väljamakse tehakse mu</w:t>
      </w:r>
      <w:r w:rsidR="001B2567">
        <w:rPr>
          <w:rFonts w:ascii="Arial" w:eastAsia="DINPro" w:hAnsi="Arial" w:cs="Arial"/>
          <w:sz w:val="24"/>
          <w:szCs w:val="24"/>
          <w:lang w:val="et-EE"/>
        </w:rPr>
        <w:t>ule</w:t>
      </w:r>
      <w:r w:rsidR="00882FCC" w:rsidRPr="00882FCC">
        <w:rPr>
          <w:rFonts w:ascii="Arial" w:eastAsia="DINPro" w:hAnsi="Arial" w:cs="Arial"/>
          <w:sz w:val="24"/>
          <w:szCs w:val="24"/>
          <w:lang w:val="et-EE"/>
        </w:rPr>
        <w:t xml:space="preserve"> kontole või et tööandja soovib ise täiendava halduskoormusega tegeleda.</w:t>
      </w:r>
    </w:p>
    <w:p w14:paraId="28926B09" w14:textId="254EA8F9" w:rsidR="00D47F7D" w:rsidRPr="00D47F7D" w:rsidRDefault="00D47F7D" w:rsidP="00D47F7D">
      <w:pPr>
        <w:spacing w:before="120" w:after="0" w:line="240" w:lineRule="auto"/>
        <w:jc w:val="both"/>
        <w:rPr>
          <w:rFonts w:ascii="Arial" w:eastAsia="DINPro" w:hAnsi="Arial" w:cs="Arial"/>
          <w:sz w:val="24"/>
          <w:szCs w:val="24"/>
          <w:lang w:val="et-EE"/>
        </w:rPr>
      </w:pPr>
      <w:r w:rsidRPr="00D47F7D">
        <w:rPr>
          <w:rFonts w:ascii="Arial" w:eastAsia="DINPro" w:hAnsi="Arial" w:cs="Arial"/>
          <w:sz w:val="24"/>
          <w:szCs w:val="24"/>
          <w:lang w:val="et-EE"/>
        </w:rPr>
        <w:t>Samas ei ole VTK-s piisavalt selgelt selgitatud, miks on selline teavitamiskohustus vajalik täiendava eraldiseisva kohustusena ning millist praktilist probleemi see lahendab. Samuti ei ole selgitatud, miks ei ole võimalik sama eesmärki saavutada olemasolevate lahendus</w:t>
      </w:r>
      <w:r w:rsidR="007B328D">
        <w:rPr>
          <w:rFonts w:ascii="Arial" w:eastAsia="DINPro" w:hAnsi="Arial" w:cs="Arial"/>
          <w:sz w:val="24"/>
          <w:szCs w:val="24"/>
          <w:lang w:val="et-EE"/>
        </w:rPr>
        <w:t>t</w:t>
      </w:r>
      <w:r w:rsidRPr="00D47F7D">
        <w:rPr>
          <w:rFonts w:ascii="Arial" w:eastAsia="DINPro" w:hAnsi="Arial" w:cs="Arial"/>
          <w:sz w:val="24"/>
          <w:szCs w:val="24"/>
          <w:lang w:val="et-EE"/>
        </w:rPr>
        <w:t>e kaudu, ilma et see tooks kaasa täiendava halduskoormuse tööandjatele.</w:t>
      </w:r>
    </w:p>
    <w:p w14:paraId="549190CA" w14:textId="6233C2BC" w:rsidR="00833822" w:rsidRPr="002F715C" w:rsidRDefault="000A3FB6" w:rsidP="009F45F8">
      <w:pPr>
        <w:spacing w:before="120" w:after="0" w:line="240" w:lineRule="auto"/>
        <w:jc w:val="both"/>
        <w:rPr>
          <w:rFonts w:ascii="Arial" w:eastAsia="DINPro" w:hAnsi="Arial" w:cs="Arial"/>
          <w:b/>
          <w:bCs/>
          <w:sz w:val="24"/>
          <w:szCs w:val="24"/>
          <w:u w:val="single"/>
          <w:lang w:val="et-EE"/>
        </w:rPr>
      </w:pPr>
      <w:r w:rsidRPr="002F715C">
        <w:rPr>
          <w:rFonts w:ascii="Arial" w:eastAsia="DINPro" w:hAnsi="Arial" w:cs="Arial"/>
          <w:b/>
          <w:bCs/>
          <w:sz w:val="24"/>
          <w:szCs w:val="24"/>
          <w:u w:val="single"/>
          <w:lang w:val="et-EE"/>
        </w:rPr>
        <w:t>Kaubanduskoja ettepanek</w:t>
      </w:r>
      <w:r w:rsidR="001E1A95">
        <w:rPr>
          <w:rFonts w:ascii="Arial" w:eastAsia="DINPro" w:hAnsi="Arial" w:cs="Arial"/>
          <w:b/>
          <w:bCs/>
          <w:sz w:val="24"/>
          <w:szCs w:val="24"/>
          <w:u w:val="single"/>
          <w:lang w:val="et-EE"/>
        </w:rPr>
        <w:t>:</w:t>
      </w:r>
    </w:p>
    <w:p w14:paraId="28CF834C" w14:textId="6B323167" w:rsidR="003A0EEB" w:rsidRPr="00921373" w:rsidRDefault="003A0EEB" w:rsidP="003A0EEB">
      <w:pPr>
        <w:spacing w:before="120" w:after="0" w:line="240" w:lineRule="auto"/>
        <w:jc w:val="both"/>
        <w:rPr>
          <w:rFonts w:ascii="Arial" w:eastAsia="DINPro" w:hAnsi="Arial" w:cs="Arial"/>
          <w:b/>
          <w:bCs/>
          <w:sz w:val="24"/>
          <w:szCs w:val="24"/>
          <w:lang w:val="et-EE"/>
        </w:rPr>
      </w:pPr>
      <w:r w:rsidRPr="00921373">
        <w:rPr>
          <w:rFonts w:ascii="Arial" w:eastAsia="DINPro" w:hAnsi="Arial" w:cs="Arial"/>
          <w:b/>
          <w:bCs/>
          <w:sz w:val="24"/>
          <w:szCs w:val="24"/>
          <w:lang w:val="et-EE"/>
        </w:rPr>
        <w:t>Teeme ettepaneku sätestada, et teavitamiskohustus kehtib üksnes juhul, kui töötasu makstakse võlgniku Eestis avatud krediidi- või makseasutuse kontole ning sellest sõltub tööandja vabastus arestimisakti täitmise kohustusest.</w:t>
      </w:r>
      <w:r w:rsidR="001530F5" w:rsidRPr="00921373">
        <w:rPr>
          <w:rFonts w:ascii="Arial" w:eastAsia="DINPro" w:hAnsi="Arial" w:cs="Arial"/>
          <w:b/>
          <w:bCs/>
          <w:sz w:val="24"/>
          <w:szCs w:val="24"/>
          <w:lang w:val="et-EE"/>
        </w:rPr>
        <w:t xml:space="preserve"> Samas </w:t>
      </w:r>
      <w:r w:rsidR="00863D82" w:rsidRPr="00921373">
        <w:rPr>
          <w:rFonts w:ascii="Arial" w:eastAsia="DINPro" w:hAnsi="Arial" w:cs="Arial"/>
          <w:b/>
          <w:bCs/>
          <w:sz w:val="24"/>
          <w:szCs w:val="24"/>
          <w:lang w:val="et-EE"/>
        </w:rPr>
        <w:t xml:space="preserve">eelistab </w:t>
      </w:r>
      <w:r w:rsidRPr="00921373">
        <w:rPr>
          <w:rFonts w:ascii="Arial" w:eastAsia="DINPro" w:hAnsi="Arial" w:cs="Arial"/>
          <w:b/>
          <w:bCs/>
          <w:sz w:val="24"/>
          <w:szCs w:val="24"/>
          <w:lang w:val="et-EE"/>
        </w:rPr>
        <w:t>Kaubanduskoda lahendust, kus see teave liigu</w:t>
      </w:r>
      <w:r w:rsidR="001530F5" w:rsidRPr="00921373">
        <w:rPr>
          <w:rFonts w:ascii="Arial" w:eastAsia="DINPro" w:hAnsi="Arial" w:cs="Arial"/>
          <w:b/>
          <w:bCs/>
          <w:sz w:val="24"/>
          <w:szCs w:val="24"/>
          <w:lang w:val="et-EE"/>
        </w:rPr>
        <w:t>ks</w:t>
      </w:r>
      <w:r w:rsidRPr="00921373">
        <w:rPr>
          <w:rFonts w:ascii="Arial" w:eastAsia="DINPro" w:hAnsi="Arial" w:cs="Arial"/>
          <w:b/>
          <w:bCs/>
          <w:sz w:val="24"/>
          <w:szCs w:val="24"/>
          <w:lang w:val="et-EE"/>
        </w:rPr>
        <w:t xml:space="preserve"> kohtutäiturini automaatselt krediidi- või makseasutuste või täitmisregistri kaudu, ilma tööandjale eraldiseisvat teavitamiskohustust kehtestamata.</w:t>
      </w:r>
      <w:r w:rsidR="001530F5" w:rsidRPr="00921373">
        <w:rPr>
          <w:rFonts w:ascii="Arial" w:eastAsia="DINPro" w:hAnsi="Arial" w:cs="Arial"/>
          <w:b/>
          <w:bCs/>
          <w:sz w:val="24"/>
          <w:szCs w:val="24"/>
          <w:lang w:val="et-EE"/>
        </w:rPr>
        <w:t xml:space="preserve"> </w:t>
      </w:r>
      <w:r w:rsidRPr="00921373">
        <w:rPr>
          <w:rFonts w:ascii="Arial" w:eastAsia="DINPro" w:hAnsi="Arial" w:cs="Arial"/>
          <w:b/>
          <w:bCs/>
          <w:sz w:val="24"/>
          <w:szCs w:val="24"/>
          <w:lang w:val="et-EE"/>
        </w:rPr>
        <w:t>Kui automaatse lahenduse rakendamine ei ole võimalik, peab Kaubanduskoda põhjendatuks, et vajalik teave edastatakse kohtutäiturile tööandja poolt.</w:t>
      </w:r>
    </w:p>
    <w:p w14:paraId="3BECBDAC" w14:textId="77777777" w:rsidR="003A0EEB" w:rsidRPr="00921373" w:rsidRDefault="003A0EEB" w:rsidP="003A0EEB">
      <w:pPr>
        <w:spacing w:before="120" w:after="0" w:line="240" w:lineRule="auto"/>
        <w:jc w:val="both"/>
        <w:rPr>
          <w:rFonts w:ascii="Arial" w:eastAsia="DINPro" w:hAnsi="Arial" w:cs="Arial"/>
          <w:b/>
          <w:bCs/>
          <w:sz w:val="24"/>
          <w:szCs w:val="24"/>
          <w:lang w:val="et-EE"/>
        </w:rPr>
      </w:pPr>
      <w:r w:rsidRPr="00921373">
        <w:rPr>
          <w:rFonts w:ascii="Arial" w:eastAsia="DINPro" w:hAnsi="Arial" w:cs="Arial"/>
          <w:b/>
          <w:bCs/>
          <w:sz w:val="24"/>
          <w:szCs w:val="24"/>
          <w:lang w:val="et-EE"/>
        </w:rPr>
        <w:t>Samas leiame, et juhtudel, kui töötasu makstakse kolmanda isiku kontole või välisriigi krediidi- või makseasutuse kontole ning tööandjal säilib niikuinii arestimisakti täitmise kohustus, ei ole eraldiseisva teavitamiskohustuse kehtestamine vajalik ega põhjendatud.</w:t>
      </w:r>
    </w:p>
    <w:p w14:paraId="0A52CB51" w14:textId="77777777" w:rsidR="001947CE" w:rsidRDefault="001947CE" w:rsidP="00DF58D5">
      <w:pPr>
        <w:spacing w:before="120" w:after="0" w:line="240" w:lineRule="auto"/>
        <w:jc w:val="both"/>
        <w:rPr>
          <w:rFonts w:ascii="Arial" w:eastAsia="DINPro" w:hAnsi="Arial" w:cs="Arial"/>
          <w:sz w:val="24"/>
          <w:szCs w:val="24"/>
          <w:lang w:val="et-EE"/>
        </w:rPr>
      </w:pPr>
    </w:p>
    <w:p w14:paraId="1BF59285" w14:textId="3FCB74D1" w:rsidR="003853C5" w:rsidRDefault="00386206" w:rsidP="00DF58D5">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Loodame, et peate võimalikuks Kaubanduskoja kommentaare ja ettepanekuid arvesse võtta. Vajadusel oleme valmis kohtuma ja oma seisukohti lähemalt selgitama.</w:t>
      </w:r>
    </w:p>
    <w:p w14:paraId="57BB159E" w14:textId="77777777" w:rsidR="00DF58D5" w:rsidRPr="00AA62A5" w:rsidRDefault="00DF58D5" w:rsidP="00DF58D5">
      <w:pPr>
        <w:spacing w:before="120" w:after="0" w:line="240" w:lineRule="auto"/>
        <w:jc w:val="both"/>
        <w:rPr>
          <w:rFonts w:ascii="Arial" w:eastAsia="DINPro" w:hAnsi="Arial" w:cs="Arial"/>
          <w:sz w:val="24"/>
          <w:szCs w:val="24"/>
          <w:lang w:val="et-EE"/>
        </w:rPr>
      </w:pPr>
    </w:p>
    <w:p w14:paraId="3F3928EA" w14:textId="77777777" w:rsidR="00DF58D5" w:rsidRPr="002F1E7F" w:rsidRDefault="00DF58D5" w:rsidP="00DF58D5">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0EE35CAC" w14:textId="77777777" w:rsidR="00DF58D5" w:rsidRPr="002F1E7F" w:rsidRDefault="00DF58D5" w:rsidP="00DF58D5">
      <w:pPr>
        <w:spacing w:after="0" w:line="240" w:lineRule="auto"/>
        <w:rPr>
          <w:rFonts w:ascii="Arial" w:hAnsi="Arial" w:cs="Arial"/>
          <w:sz w:val="24"/>
          <w:szCs w:val="24"/>
          <w:lang w:val="et-EE" w:eastAsia="et-EE"/>
        </w:rPr>
      </w:pPr>
    </w:p>
    <w:p w14:paraId="4366E6C9" w14:textId="77777777" w:rsidR="00DF58D5" w:rsidRDefault="00DF58D5" w:rsidP="00DF58D5">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6C66E212" w14:textId="77777777" w:rsidR="007A1930" w:rsidRPr="007A1930" w:rsidRDefault="007A1930" w:rsidP="007A1930">
      <w:pPr>
        <w:spacing w:after="0" w:line="240" w:lineRule="auto"/>
        <w:rPr>
          <w:rFonts w:ascii="Arial" w:hAnsi="Arial" w:cs="Arial"/>
          <w:sz w:val="24"/>
          <w:szCs w:val="24"/>
          <w:lang w:val="et-EE" w:eastAsia="et-EE"/>
        </w:rPr>
      </w:pPr>
      <w:r w:rsidRPr="007A1930">
        <w:rPr>
          <w:rFonts w:ascii="Arial" w:hAnsi="Arial" w:cs="Arial"/>
          <w:sz w:val="24"/>
          <w:szCs w:val="24"/>
          <w:lang w:val="et-EE" w:eastAsia="et-EE"/>
        </w:rPr>
        <w:t xml:space="preserve">Ene Rammo </w:t>
      </w:r>
    </w:p>
    <w:p w14:paraId="41FBBAC2" w14:textId="77777777" w:rsidR="007A1930" w:rsidRPr="007A1930" w:rsidRDefault="00DF58D5" w:rsidP="007A1930">
      <w:pPr>
        <w:spacing w:after="0" w:line="240" w:lineRule="auto"/>
        <w:rPr>
          <w:rFonts w:ascii="Arial" w:hAnsi="Arial" w:cs="Arial"/>
          <w:sz w:val="24"/>
          <w:szCs w:val="24"/>
          <w:lang w:val="et-EE" w:eastAsia="et-EE"/>
        </w:rPr>
      </w:pPr>
      <w:r>
        <w:rPr>
          <w:rFonts w:ascii="Arial" w:hAnsi="Arial" w:cs="Arial"/>
          <w:sz w:val="24"/>
          <w:szCs w:val="24"/>
          <w:lang w:val="et-EE" w:eastAsia="et-EE"/>
        </w:rPr>
        <w:t xml:space="preserve">Eesti </w:t>
      </w:r>
      <w:proofErr w:type="spellStart"/>
      <w:r>
        <w:rPr>
          <w:rFonts w:ascii="Arial" w:hAnsi="Arial" w:cs="Arial"/>
          <w:sz w:val="24"/>
          <w:szCs w:val="24"/>
          <w:lang w:val="et-EE" w:eastAsia="et-EE"/>
        </w:rPr>
        <w:t>Kaubandus-Tööstuskoja</w:t>
      </w:r>
      <w:proofErr w:type="spellEnd"/>
      <w:r>
        <w:rPr>
          <w:rFonts w:ascii="Arial" w:hAnsi="Arial" w:cs="Arial"/>
          <w:sz w:val="24"/>
          <w:szCs w:val="24"/>
          <w:lang w:val="et-EE" w:eastAsia="et-EE"/>
        </w:rPr>
        <w:t xml:space="preserve"> </w:t>
      </w:r>
      <w:r w:rsidR="007A1930" w:rsidRPr="007A1930">
        <w:rPr>
          <w:rFonts w:ascii="Arial" w:hAnsi="Arial" w:cs="Arial"/>
          <w:sz w:val="24"/>
          <w:szCs w:val="24"/>
          <w:lang w:val="et-EE" w:eastAsia="et-EE"/>
        </w:rPr>
        <w:t>finantsdirektor peadirektori ülesannetes</w:t>
      </w:r>
    </w:p>
    <w:p w14:paraId="56F645D2" w14:textId="12BA679A" w:rsidR="00DF58D5" w:rsidRPr="002F1E7F" w:rsidRDefault="00DF58D5" w:rsidP="00DF58D5">
      <w:pPr>
        <w:spacing w:after="0" w:line="240" w:lineRule="auto"/>
        <w:rPr>
          <w:rFonts w:ascii="Arial" w:hAnsi="Arial" w:cs="Arial"/>
          <w:sz w:val="24"/>
          <w:szCs w:val="24"/>
          <w:lang w:val="et-EE" w:eastAsia="et-EE"/>
        </w:rPr>
      </w:pPr>
    </w:p>
    <w:p w14:paraId="40E15BA3" w14:textId="77777777" w:rsidR="00DF58D5" w:rsidRPr="002F1E7F" w:rsidRDefault="00DF58D5" w:rsidP="00DF58D5">
      <w:pPr>
        <w:spacing w:after="0" w:line="240" w:lineRule="auto"/>
        <w:rPr>
          <w:rFonts w:ascii="Arial" w:hAnsi="Arial" w:cs="Arial"/>
          <w:sz w:val="24"/>
          <w:szCs w:val="24"/>
          <w:lang w:val="et-EE" w:eastAsia="et-EE"/>
        </w:rPr>
      </w:pPr>
    </w:p>
    <w:p w14:paraId="20854798" w14:textId="77777777" w:rsidR="00DF58D5" w:rsidRPr="002F1E7F" w:rsidRDefault="00DF58D5" w:rsidP="00DF58D5">
      <w:pPr>
        <w:spacing w:after="0" w:line="240" w:lineRule="auto"/>
        <w:rPr>
          <w:rFonts w:ascii="Arial" w:hAnsi="Arial" w:cs="Arial"/>
          <w:sz w:val="24"/>
          <w:szCs w:val="24"/>
          <w:lang w:val="et-EE" w:eastAsia="et-EE"/>
        </w:rPr>
      </w:pPr>
    </w:p>
    <w:p w14:paraId="341861B8" w14:textId="77777777" w:rsidR="00DF58D5" w:rsidRDefault="00DF58D5" w:rsidP="00DF58D5">
      <w:pPr>
        <w:spacing w:after="0" w:line="240" w:lineRule="auto"/>
        <w:rPr>
          <w:rFonts w:ascii="Arial" w:hAnsi="Arial" w:cs="Arial"/>
          <w:sz w:val="24"/>
          <w:szCs w:val="24"/>
          <w:lang w:val="et-EE" w:eastAsia="et-EE"/>
        </w:rPr>
      </w:pPr>
    </w:p>
    <w:p w14:paraId="26699EF8" w14:textId="77777777" w:rsidR="00DF58D5" w:rsidRDefault="00DF58D5" w:rsidP="00DF58D5">
      <w:pPr>
        <w:spacing w:after="0" w:line="240" w:lineRule="auto"/>
        <w:rPr>
          <w:rFonts w:ascii="Arial" w:hAnsi="Arial" w:cs="Arial"/>
          <w:sz w:val="24"/>
          <w:szCs w:val="24"/>
          <w:lang w:val="et-EE" w:eastAsia="et-EE"/>
        </w:rPr>
      </w:pPr>
    </w:p>
    <w:p w14:paraId="3D0462BD" w14:textId="77777777" w:rsidR="00DF58D5" w:rsidRDefault="00DF58D5" w:rsidP="00DF58D5">
      <w:pPr>
        <w:spacing w:after="0" w:line="240" w:lineRule="auto"/>
        <w:rPr>
          <w:rFonts w:ascii="Arial" w:hAnsi="Arial" w:cs="Arial"/>
          <w:sz w:val="24"/>
          <w:szCs w:val="24"/>
          <w:lang w:val="et-EE" w:eastAsia="et-EE"/>
        </w:rPr>
      </w:pPr>
    </w:p>
    <w:p w14:paraId="39608F64" w14:textId="77777777" w:rsidR="0034267D" w:rsidRDefault="0034267D" w:rsidP="00DF58D5">
      <w:pPr>
        <w:spacing w:after="0" w:line="240" w:lineRule="auto"/>
        <w:rPr>
          <w:rFonts w:ascii="Arial" w:hAnsi="Arial" w:cs="Arial"/>
          <w:sz w:val="24"/>
          <w:szCs w:val="24"/>
          <w:lang w:val="et-EE" w:eastAsia="et-EE"/>
        </w:rPr>
      </w:pPr>
    </w:p>
    <w:p w14:paraId="1D3A8997" w14:textId="77777777" w:rsidR="0034267D" w:rsidRPr="002F1E7F" w:rsidRDefault="0034267D" w:rsidP="00DF58D5">
      <w:pPr>
        <w:spacing w:after="0" w:line="240" w:lineRule="auto"/>
        <w:rPr>
          <w:rFonts w:ascii="Arial" w:hAnsi="Arial" w:cs="Arial"/>
          <w:sz w:val="24"/>
          <w:szCs w:val="24"/>
          <w:lang w:val="et-EE" w:eastAsia="et-EE"/>
        </w:rPr>
      </w:pPr>
    </w:p>
    <w:p w14:paraId="6C4CD3E9" w14:textId="77777777" w:rsidR="00DF58D5" w:rsidRPr="002F1E7F" w:rsidRDefault="00DF58D5" w:rsidP="00DF58D5">
      <w:pPr>
        <w:spacing w:after="0" w:line="240" w:lineRule="auto"/>
        <w:rPr>
          <w:rFonts w:ascii="Arial" w:hAnsi="Arial" w:cs="Arial"/>
          <w:sz w:val="24"/>
          <w:szCs w:val="24"/>
          <w:lang w:val="et-EE" w:eastAsia="et-EE"/>
        </w:rPr>
      </w:pPr>
    </w:p>
    <w:p w14:paraId="1002D1F7" w14:textId="02CA55D4" w:rsidR="00DF58D5" w:rsidRDefault="00DF58D5" w:rsidP="00DF58D5">
      <w:pPr>
        <w:spacing w:after="0" w:line="240" w:lineRule="auto"/>
        <w:rPr>
          <w:rFonts w:ascii="Arial" w:hAnsi="Arial" w:cs="Arial"/>
          <w:sz w:val="24"/>
          <w:szCs w:val="24"/>
          <w:lang w:val="et-EE" w:eastAsia="et-EE"/>
        </w:rPr>
      </w:pPr>
      <w:r>
        <w:rPr>
          <w:rFonts w:ascii="Arial" w:hAnsi="Arial" w:cs="Arial"/>
          <w:sz w:val="24"/>
          <w:szCs w:val="24"/>
          <w:lang w:val="et-EE" w:eastAsia="et-EE"/>
        </w:rPr>
        <w:t>Ireen Tarto</w:t>
      </w:r>
    </w:p>
    <w:p w14:paraId="12CBB065" w14:textId="4B79087D" w:rsidR="00DF58D5" w:rsidRDefault="00DF58D5" w:rsidP="00DF58D5">
      <w:pPr>
        <w:spacing w:after="0" w:line="240" w:lineRule="auto"/>
        <w:rPr>
          <w:rFonts w:ascii="Arial" w:hAnsi="Arial" w:cs="Arial"/>
          <w:sz w:val="24"/>
          <w:szCs w:val="24"/>
          <w:lang w:val="et-EE" w:eastAsia="et-EE"/>
        </w:rPr>
      </w:pPr>
      <w:hyperlink r:id="rId9" w:history="1">
        <w:r w:rsidRPr="002555EA">
          <w:rPr>
            <w:rStyle w:val="Hyperlink"/>
            <w:rFonts w:ascii="Arial" w:hAnsi="Arial" w:cs="Arial"/>
            <w:sz w:val="24"/>
            <w:szCs w:val="24"/>
            <w:lang w:val="et-EE" w:eastAsia="et-EE"/>
          </w:rPr>
          <w:t>Ireen.tarto@koda.ee</w:t>
        </w:r>
      </w:hyperlink>
      <w:r>
        <w:rPr>
          <w:rFonts w:ascii="Arial" w:hAnsi="Arial" w:cs="Arial"/>
          <w:sz w:val="24"/>
          <w:szCs w:val="24"/>
          <w:lang w:val="et-EE" w:eastAsia="et-EE"/>
        </w:rPr>
        <w:t xml:space="preserve"> </w:t>
      </w:r>
    </w:p>
    <w:sectPr w:rsidR="00DF58D5" w:rsidSect="00DF58D5">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E4B35" w14:textId="77777777" w:rsidR="00A3372D" w:rsidRDefault="00A3372D">
      <w:pPr>
        <w:spacing w:after="0" w:line="240" w:lineRule="auto"/>
      </w:pPr>
      <w:r>
        <w:separator/>
      </w:r>
    </w:p>
  </w:endnote>
  <w:endnote w:type="continuationSeparator" w:id="0">
    <w:p w14:paraId="311E3E1C" w14:textId="77777777" w:rsidR="00A3372D" w:rsidRDefault="00A33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3BC" w14:textId="77777777" w:rsidR="0021106C" w:rsidRPr="00E7418C" w:rsidRDefault="0021106C" w:rsidP="00486C65">
    <w:pPr>
      <w:pStyle w:val="Footer"/>
      <w:rPr>
        <w:rFonts w:ascii="Arial" w:hAnsi="Arial" w:cs="Arial"/>
        <w:b/>
        <w:sz w:val="14"/>
        <w:szCs w:val="14"/>
      </w:rPr>
    </w:pPr>
    <w:r w:rsidRPr="00E7418C">
      <w:rPr>
        <w:rFonts w:ascii="Arial" w:hAnsi="Arial" w:cs="Arial"/>
        <w:b/>
        <w:sz w:val="14"/>
        <w:szCs w:val="14"/>
      </w:rPr>
      <w:t>EESTI KAUBANDUS-TÖÖSTUSKODA</w:t>
    </w:r>
  </w:p>
  <w:p w14:paraId="76AAFC9D" w14:textId="77777777" w:rsidR="0021106C" w:rsidRPr="00E7418C" w:rsidRDefault="0021106C" w:rsidP="00486C65">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8DA2" w14:textId="77777777" w:rsidR="0021106C" w:rsidRPr="00BF3929" w:rsidRDefault="0021106C" w:rsidP="00486C65">
    <w:pPr>
      <w:pStyle w:val="Footer"/>
      <w:rPr>
        <w:rFonts w:ascii="Arial" w:hAnsi="Arial" w:cs="Arial"/>
        <w:b/>
        <w:sz w:val="14"/>
        <w:szCs w:val="14"/>
      </w:rPr>
    </w:pPr>
    <w:bookmarkStart w:id="0" w:name="_Hlk201915025"/>
    <w:r>
      <w:rPr>
        <w:rFonts w:ascii="Arial" w:hAnsi="Arial" w:cs="Arial"/>
        <w:b/>
        <w:sz w:val="14"/>
        <w:szCs w:val="14"/>
      </w:rPr>
      <w:t>EESTI KAUBANDUS-TÖÖSTUSKODA</w:t>
    </w:r>
  </w:p>
  <w:p w14:paraId="4FE435A6" w14:textId="77777777" w:rsidR="0021106C" w:rsidRPr="00BF3929" w:rsidRDefault="0021106C" w:rsidP="00486C65">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84B9" w14:textId="77777777" w:rsidR="00A3372D" w:rsidRDefault="00A3372D">
      <w:pPr>
        <w:spacing w:after="0" w:line="240" w:lineRule="auto"/>
      </w:pPr>
      <w:r>
        <w:separator/>
      </w:r>
    </w:p>
  </w:footnote>
  <w:footnote w:type="continuationSeparator" w:id="0">
    <w:p w14:paraId="755F629E" w14:textId="77777777" w:rsidR="00A3372D" w:rsidRDefault="00A33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E456" w14:textId="77777777" w:rsidR="0021106C" w:rsidRPr="00C0691C" w:rsidRDefault="0021106C" w:rsidP="00486C65">
    <w:pPr>
      <w:pStyle w:val="Header"/>
    </w:pPr>
    <w:r>
      <w:rPr>
        <w:noProof/>
      </w:rPr>
      <w:drawing>
        <wp:inline distT="0" distB="0" distL="0" distR="0" wp14:anchorId="68F9D21F" wp14:editId="52FEE9C5">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CCC1A0FE-C8B1-45EC-8B05-4B02DCC68A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BFCE" w14:textId="77777777" w:rsidR="0021106C" w:rsidRDefault="0021106C">
    <w:pPr>
      <w:pStyle w:val="Header"/>
    </w:pPr>
    <w:r>
      <w:rPr>
        <w:noProof/>
      </w:rPr>
      <w:drawing>
        <wp:inline distT="0" distB="0" distL="0" distR="0" wp14:anchorId="1BF30F21" wp14:editId="56983503">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8739348B-2CDE-4EC7-A70D-E0BF9AB7F5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B7B"/>
    <w:multiLevelType w:val="hybridMultilevel"/>
    <w:tmpl w:val="A41A263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8284155"/>
    <w:multiLevelType w:val="hybridMultilevel"/>
    <w:tmpl w:val="34CCC2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53741DF"/>
    <w:multiLevelType w:val="hybridMultilevel"/>
    <w:tmpl w:val="8A8460FA"/>
    <w:lvl w:ilvl="0" w:tplc="04250003">
      <w:start w:val="1"/>
      <w:numFmt w:val="bullet"/>
      <w:lvlText w:val="o"/>
      <w:lvlJc w:val="left"/>
      <w:pPr>
        <w:ind w:left="1068" w:hanging="360"/>
      </w:pPr>
      <w:rPr>
        <w:rFonts w:ascii="Courier New" w:hAnsi="Courier New" w:cs="Courier New"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3" w15:restartNumberingAfterBreak="0">
    <w:nsid w:val="6E883136"/>
    <w:multiLevelType w:val="hybridMultilevel"/>
    <w:tmpl w:val="2BE412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338271342">
    <w:abstractNumId w:val="2"/>
  </w:num>
  <w:num w:numId="2" w16cid:durableId="1488934217">
    <w:abstractNumId w:val="1"/>
  </w:num>
  <w:num w:numId="3" w16cid:durableId="441922946">
    <w:abstractNumId w:val="0"/>
  </w:num>
  <w:num w:numId="4" w16cid:durableId="926503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D5"/>
    <w:rsid w:val="00005963"/>
    <w:rsid w:val="000064D2"/>
    <w:rsid w:val="00012DD5"/>
    <w:rsid w:val="00027113"/>
    <w:rsid w:val="0003628D"/>
    <w:rsid w:val="00041278"/>
    <w:rsid w:val="000530EB"/>
    <w:rsid w:val="0005642E"/>
    <w:rsid w:val="00062885"/>
    <w:rsid w:val="00063F0F"/>
    <w:rsid w:val="00081891"/>
    <w:rsid w:val="00097D2F"/>
    <w:rsid w:val="000A3FB6"/>
    <w:rsid w:val="000A4B04"/>
    <w:rsid w:val="000B5714"/>
    <w:rsid w:val="000B7A1A"/>
    <w:rsid w:val="000C7900"/>
    <w:rsid w:val="000F2E52"/>
    <w:rsid w:val="000F3159"/>
    <w:rsid w:val="00103C8E"/>
    <w:rsid w:val="0010516E"/>
    <w:rsid w:val="001119BE"/>
    <w:rsid w:val="001333CC"/>
    <w:rsid w:val="001530F5"/>
    <w:rsid w:val="00164BB2"/>
    <w:rsid w:val="00165366"/>
    <w:rsid w:val="00173094"/>
    <w:rsid w:val="00176340"/>
    <w:rsid w:val="001854CB"/>
    <w:rsid w:val="001947CE"/>
    <w:rsid w:val="001B2567"/>
    <w:rsid w:val="001E1A95"/>
    <w:rsid w:val="001E59A1"/>
    <w:rsid w:val="001F74EA"/>
    <w:rsid w:val="001F795E"/>
    <w:rsid w:val="0021106C"/>
    <w:rsid w:val="0021227B"/>
    <w:rsid w:val="002155F5"/>
    <w:rsid w:val="00217022"/>
    <w:rsid w:val="00220177"/>
    <w:rsid w:val="002532E0"/>
    <w:rsid w:val="0027366B"/>
    <w:rsid w:val="00276BD1"/>
    <w:rsid w:val="00282004"/>
    <w:rsid w:val="002B0165"/>
    <w:rsid w:val="002B7EB0"/>
    <w:rsid w:val="002D429B"/>
    <w:rsid w:val="002E164C"/>
    <w:rsid w:val="002E23E7"/>
    <w:rsid w:val="002F4B83"/>
    <w:rsid w:val="002F715C"/>
    <w:rsid w:val="00326420"/>
    <w:rsid w:val="003316CC"/>
    <w:rsid w:val="0034267D"/>
    <w:rsid w:val="00351BF8"/>
    <w:rsid w:val="003853C5"/>
    <w:rsid w:val="00386206"/>
    <w:rsid w:val="0038648B"/>
    <w:rsid w:val="0039083C"/>
    <w:rsid w:val="00394773"/>
    <w:rsid w:val="003A0EEB"/>
    <w:rsid w:val="003B6CC4"/>
    <w:rsid w:val="003C25DF"/>
    <w:rsid w:val="003C5A52"/>
    <w:rsid w:val="003D5D04"/>
    <w:rsid w:val="003E41D3"/>
    <w:rsid w:val="003E4411"/>
    <w:rsid w:val="003F7DCD"/>
    <w:rsid w:val="00403B2A"/>
    <w:rsid w:val="00403D9A"/>
    <w:rsid w:val="00403EF9"/>
    <w:rsid w:val="004156D9"/>
    <w:rsid w:val="004213CC"/>
    <w:rsid w:val="00427E7D"/>
    <w:rsid w:val="00450589"/>
    <w:rsid w:val="00453431"/>
    <w:rsid w:val="00453E7E"/>
    <w:rsid w:val="00455802"/>
    <w:rsid w:val="00476D6D"/>
    <w:rsid w:val="00486C65"/>
    <w:rsid w:val="004A1B41"/>
    <w:rsid w:val="004B37C6"/>
    <w:rsid w:val="004C189B"/>
    <w:rsid w:val="004E2BC0"/>
    <w:rsid w:val="004E62E5"/>
    <w:rsid w:val="00500747"/>
    <w:rsid w:val="00501EA5"/>
    <w:rsid w:val="005116A7"/>
    <w:rsid w:val="00523F02"/>
    <w:rsid w:val="00531102"/>
    <w:rsid w:val="0054354B"/>
    <w:rsid w:val="0057363E"/>
    <w:rsid w:val="00573B02"/>
    <w:rsid w:val="00574BB3"/>
    <w:rsid w:val="005772D4"/>
    <w:rsid w:val="00584058"/>
    <w:rsid w:val="00587684"/>
    <w:rsid w:val="00593D83"/>
    <w:rsid w:val="005B1EE6"/>
    <w:rsid w:val="005C1C79"/>
    <w:rsid w:val="005C5B31"/>
    <w:rsid w:val="005C66BF"/>
    <w:rsid w:val="005D2787"/>
    <w:rsid w:val="005D6973"/>
    <w:rsid w:val="005D764C"/>
    <w:rsid w:val="005E1EBC"/>
    <w:rsid w:val="00605477"/>
    <w:rsid w:val="00606134"/>
    <w:rsid w:val="0062304F"/>
    <w:rsid w:val="006250BE"/>
    <w:rsid w:val="00634981"/>
    <w:rsid w:val="006508DB"/>
    <w:rsid w:val="00677FF9"/>
    <w:rsid w:val="006A3D17"/>
    <w:rsid w:val="006B0B2A"/>
    <w:rsid w:val="006C1D18"/>
    <w:rsid w:val="006E12C8"/>
    <w:rsid w:val="006E4E6B"/>
    <w:rsid w:val="00723F7E"/>
    <w:rsid w:val="00731E02"/>
    <w:rsid w:val="007334A0"/>
    <w:rsid w:val="00734FFE"/>
    <w:rsid w:val="00740AE7"/>
    <w:rsid w:val="00747392"/>
    <w:rsid w:val="00750997"/>
    <w:rsid w:val="00751EF4"/>
    <w:rsid w:val="00753B4B"/>
    <w:rsid w:val="00754545"/>
    <w:rsid w:val="00754987"/>
    <w:rsid w:val="00772D63"/>
    <w:rsid w:val="00782BFC"/>
    <w:rsid w:val="0078540B"/>
    <w:rsid w:val="0079431D"/>
    <w:rsid w:val="007A1930"/>
    <w:rsid w:val="007A5B2C"/>
    <w:rsid w:val="007A70B3"/>
    <w:rsid w:val="007B0595"/>
    <w:rsid w:val="007B0BE3"/>
    <w:rsid w:val="007B1104"/>
    <w:rsid w:val="007B328D"/>
    <w:rsid w:val="007C2F4E"/>
    <w:rsid w:val="007D6133"/>
    <w:rsid w:val="007D7574"/>
    <w:rsid w:val="007E29C4"/>
    <w:rsid w:val="007F0172"/>
    <w:rsid w:val="007F3D80"/>
    <w:rsid w:val="007F7C79"/>
    <w:rsid w:val="00807B5D"/>
    <w:rsid w:val="00807B80"/>
    <w:rsid w:val="008126AF"/>
    <w:rsid w:val="0081742D"/>
    <w:rsid w:val="008257F7"/>
    <w:rsid w:val="00833822"/>
    <w:rsid w:val="00837FEC"/>
    <w:rsid w:val="00863D82"/>
    <w:rsid w:val="00872164"/>
    <w:rsid w:val="00872A7C"/>
    <w:rsid w:val="00882FCC"/>
    <w:rsid w:val="00891859"/>
    <w:rsid w:val="0089272E"/>
    <w:rsid w:val="008A1C77"/>
    <w:rsid w:val="008B26B7"/>
    <w:rsid w:val="008B505E"/>
    <w:rsid w:val="008B50E1"/>
    <w:rsid w:val="008C5A8D"/>
    <w:rsid w:val="008D32BE"/>
    <w:rsid w:val="008E5A5B"/>
    <w:rsid w:val="008E6357"/>
    <w:rsid w:val="00900529"/>
    <w:rsid w:val="00902F46"/>
    <w:rsid w:val="00906492"/>
    <w:rsid w:val="00913564"/>
    <w:rsid w:val="00920D35"/>
    <w:rsid w:val="00921373"/>
    <w:rsid w:val="009351A3"/>
    <w:rsid w:val="00936850"/>
    <w:rsid w:val="00951A77"/>
    <w:rsid w:val="009626B7"/>
    <w:rsid w:val="009648F5"/>
    <w:rsid w:val="00977017"/>
    <w:rsid w:val="009C658D"/>
    <w:rsid w:val="009F45F8"/>
    <w:rsid w:val="00A02444"/>
    <w:rsid w:val="00A03ACB"/>
    <w:rsid w:val="00A31B8C"/>
    <w:rsid w:val="00A3372D"/>
    <w:rsid w:val="00A53A8C"/>
    <w:rsid w:val="00A97856"/>
    <w:rsid w:val="00AA1A5C"/>
    <w:rsid w:val="00AB19B7"/>
    <w:rsid w:val="00AB588C"/>
    <w:rsid w:val="00AB62DB"/>
    <w:rsid w:val="00AC1F03"/>
    <w:rsid w:val="00AD65D5"/>
    <w:rsid w:val="00AE2D14"/>
    <w:rsid w:val="00B13614"/>
    <w:rsid w:val="00B13A67"/>
    <w:rsid w:val="00B15B5D"/>
    <w:rsid w:val="00B2277B"/>
    <w:rsid w:val="00B273C5"/>
    <w:rsid w:val="00B274C0"/>
    <w:rsid w:val="00B30879"/>
    <w:rsid w:val="00B30E5F"/>
    <w:rsid w:val="00B51717"/>
    <w:rsid w:val="00B7537A"/>
    <w:rsid w:val="00B81A93"/>
    <w:rsid w:val="00B94E19"/>
    <w:rsid w:val="00BA5085"/>
    <w:rsid w:val="00BA7A25"/>
    <w:rsid w:val="00BB7CB1"/>
    <w:rsid w:val="00BD0BBB"/>
    <w:rsid w:val="00BD50C9"/>
    <w:rsid w:val="00BE1644"/>
    <w:rsid w:val="00C10DA6"/>
    <w:rsid w:val="00C263AE"/>
    <w:rsid w:val="00C263B6"/>
    <w:rsid w:val="00C4202E"/>
    <w:rsid w:val="00C4243A"/>
    <w:rsid w:val="00C46C68"/>
    <w:rsid w:val="00C62E47"/>
    <w:rsid w:val="00C747CE"/>
    <w:rsid w:val="00C74AA6"/>
    <w:rsid w:val="00C8743A"/>
    <w:rsid w:val="00C9267A"/>
    <w:rsid w:val="00CB3F2E"/>
    <w:rsid w:val="00CC08AE"/>
    <w:rsid w:val="00CC11BF"/>
    <w:rsid w:val="00CC4AE1"/>
    <w:rsid w:val="00CD0196"/>
    <w:rsid w:val="00D04B64"/>
    <w:rsid w:val="00D14859"/>
    <w:rsid w:val="00D35640"/>
    <w:rsid w:val="00D42DDC"/>
    <w:rsid w:val="00D47F7D"/>
    <w:rsid w:val="00D571EF"/>
    <w:rsid w:val="00D75E8C"/>
    <w:rsid w:val="00D842EC"/>
    <w:rsid w:val="00D935B6"/>
    <w:rsid w:val="00DC67B2"/>
    <w:rsid w:val="00DE0D1F"/>
    <w:rsid w:val="00DF27B7"/>
    <w:rsid w:val="00DF3533"/>
    <w:rsid w:val="00DF58D5"/>
    <w:rsid w:val="00DF6B00"/>
    <w:rsid w:val="00E079F6"/>
    <w:rsid w:val="00E07A2C"/>
    <w:rsid w:val="00E12762"/>
    <w:rsid w:val="00E1744C"/>
    <w:rsid w:val="00E2368A"/>
    <w:rsid w:val="00E32ACB"/>
    <w:rsid w:val="00E41897"/>
    <w:rsid w:val="00E56A19"/>
    <w:rsid w:val="00E57CF9"/>
    <w:rsid w:val="00E62764"/>
    <w:rsid w:val="00E65711"/>
    <w:rsid w:val="00E71264"/>
    <w:rsid w:val="00E876D8"/>
    <w:rsid w:val="00E92D29"/>
    <w:rsid w:val="00EA1829"/>
    <w:rsid w:val="00EA1A74"/>
    <w:rsid w:val="00EA5AF3"/>
    <w:rsid w:val="00ED7554"/>
    <w:rsid w:val="00EE6554"/>
    <w:rsid w:val="00EF7253"/>
    <w:rsid w:val="00F31528"/>
    <w:rsid w:val="00F31EC5"/>
    <w:rsid w:val="00F42F20"/>
    <w:rsid w:val="00F635D1"/>
    <w:rsid w:val="00F92C7E"/>
    <w:rsid w:val="00FA5DBF"/>
    <w:rsid w:val="00FA7942"/>
    <w:rsid w:val="00FC1B53"/>
    <w:rsid w:val="00FC2FEC"/>
    <w:rsid w:val="00FD4D54"/>
    <w:rsid w:val="00FD778A"/>
    <w:rsid w:val="00FE3349"/>
    <w:rsid w:val="00FF2252"/>
    <w:rsid w:val="00FF4E90"/>
    <w:rsid w:val="00FF56F2"/>
    <w:rsid w:val="00FF729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EC4FF"/>
  <w15:chartTrackingRefBased/>
  <w15:docId w15:val="{EF0A6409-D463-4FB6-90C0-D931AADF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8D5"/>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DF5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8D5"/>
    <w:rPr>
      <w:rFonts w:eastAsiaTheme="majorEastAsia" w:cstheme="majorBidi"/>
      <w:color w:val="272727" w:themeColor="text1" w:themeTint="D8"/>
    </w:rPr>
  </w:style>
  <w:style w:type="paragraph" w:styleId="Title">
    <w:name w:val="Title"/>
    <w:basedOn w:val="Normal"/>
    <w:next w:val="Normal"/>
    <w:link w:val="TitleChar"/>
    <w:uiPriority w:val="10"/>
    <w:qFormat/>
    <w:rsid w:val="00DF5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D5"/>
    <w:pPr>
      <w:spacing w:before="160"/>
      <w:jc w:val="center"/>
    </w:pPr>
    <w:rPr>
      <w:i/>
      <w:iCs/>
      <w:color w:val="404040" w:themeColor="text1" w:themeTint="BF"/>
    </w:rPr>
  </w:style>
  <w:style w:type="character" w:customStyle="1" w:styleId="QuoteChar">
    <w:name w:val="Quote Char"/>
    <w:basedOn w:val="DefaultParagraphFont"/>
    <w:link w:val="Quote"/>
    <w:uiPriority w:val="29"/>
    <w:rsid w:val="00DF58D5"/>
    <w:rPr>
      <w:i/>
      <w:iCs/>
      <w:color w:val="404040" w:themeColor="text1" w:themeTint="BF"/>
    </w:rPr>
  </w:style>
  <w:style w:type="paragraph" w:styleId="ListParagraph">
    <w:name w:val="List Paragraph"/>
    <w:basedOn w:val="Normal"/>
    <w:uiPriority w:val="34"/>
    <w:qFormat/>
    <w:rsid w:val="00DF58D5"/>
    <w:pPr>
      <w:ind w:left="720"/>
      <w:contextualSpacing/>
    </w:pPr>
  </w:style>
  <w:style w:type="character" w:styleId="IntenseEmphasis">
    <w:name w:val="Intense Emphasis"/>
    <w:basedOn w:val="DefaultParagraphFont"/>
    <w:uiPriority w:val="21"/>
    <w:qFormat/>
    <w:rsid w:val="00DF58D5"/>
    <w:rPr>
      <w:i/>
      <w:iCs/>
      <w:color w:val="0F4761" w:themeColor="accent1" w:themeShade="BF"/>
    </w:rPr>
  </w:style>
  <w:style w:type="paragraph" w:styleId="IntenseQuote">
    <w:name w:val="Intense Quote"/>
    <w:basedOn w:val="Normal"/>
    <w:next w:val="Normal"/>
    <w:link w:val="IntenseQuoteChar"/>
    <w:uiPriority w:val="30"/>
    <w:qFormat/>
    <w:rsid w:val="00DF5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8D5"/>
    <w:rPr>
      <w:i/>
      <w:iCs/>
      <w:color w:val="0F4761" w:themeColor="accent1" w:themeShade="BF"/>
    </w:rPr>
  </w:style>
  <w:style w:type="character" w:styleId="IntenseReference">
    <w:name w:val="Intense Reference"/>
    <w:basedOn w:val="DefaultParagraphFont"/>
    <w:uiPriority w:val="32"/>
    <w:qFormat/>
    <w:rsid w:val="00DF58D5"/>
    <w:rPr>
      <w:b/>
      <w:bCs/>
      <w:smallCaps/>
      <w:color w:val="0F4761" w:themeColor="accent1" w:themeShade="BF"/>
      <w:spacing w:val="5"/>
    </w:rPr>
  </w:style>
  <w:style w:type="paragraph" w:styleId="Header">
    <w:name w:val="Header"/>
    <w:basedOn w:val="Normal"/>
    <w:link w:val="HeaderChar"/>
    <w:uiPriority w:val="99"/>
    <w:unhideWhenUsed/>
    <w:rsid w:val="00DF58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8D5"/>
    <w:rPr>
      <w:kern w:val="0"/>
      <w:sz w:val="22"/>
      <w:szCs w:val="22"/>
      <w:lang w:val="en-US"/>
      <w14:ligatures w14:val="none"/>
    </w:rPr>
  </w:style>
  <w:style w:type="paragraph" w:styleId="Footer">
    <w:name w:val="Footer"/>
    <w:basedOn w:val="Normal"/>
    <w:link w:val="FooterChar"/>
    <w:uiPriority w:val="99"/>
    <w:unhideWhenUsed/>
    <w:rsid w:val="00DF58D5"/>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F58D5"/>
    <w:rPr>
      <w:kern w:val="0"/>
      <w:sz w:val="16"/>
      <w:szCs w:val="22"/>
      <w:lang w:val="en-US"/>
      <w14:ligatures w14:val="none"/>
    </w:rPr>
  </w:style>
  <w:style w:type="character" w:styleId="Hyperlink">
    <w:name w:val="Hyperlink"/>
    <w:basedOn w:val="DefaultParagraphFont"/>
    <w:uiPriority w:val="99"/>
    <w:unhideWhenUsed/>
    <w:rsid w:val="00DF58D5"/>
    <w:rPr>
      <w:color w:val="467886" w:themeColor="hyperlink"/>
      <w:u w:val="single"/>
    </w:rPr>
  </w:style>
  <w:style w:type="character" w:styleId="UnresolvedMention">
    <w:name w:val="Unresolved Mention"/>
    <w:basedOn w:val="DefaultParagraphFont"/>
    <w:uiPriority w:val="99"/>
    <w:semiHidden/>
    <w:unhideWhenUsed/>
    <w:rsid w:val="00DF58D5"/>
    <w:rPr>
      <w:color w:val="605E5C"/>
      <w:shd w:val="clear" w:color="auto" w:fill="E1DFDD"/>
    </w:rPr>
  </w:style>
  <w:style w:type="character" w:styleId="CommentReference">
    <w:name w:val="Comment Reference"/>
    <w:basedOn w:val="DefaultParagraphFont"/>
    <w:uiPriority w:val="99"/>
    <w:semiHidden/>
    <w:unhideWhenUsed/>
    <w:rsid w:val="007C2F4E"/>
    <w:rPr>
      <w:sz w:val="16"/>
      <w:szCs w:val="16"/>
    </w:rPr>
  </w:style>
  <w:style w:type="paragraph" w:styleId="CommentText">
    <w:name w:val="Comment Text"/>
    <w:basedOn w:val="Normal"/>
    <w:link w:val="CommentTextChar"/>
    <w:uiPriority w:val="99"/>
    <w:unhideWhenUsed/>
    <w:rsid w:val="007C2F4E"/>
    <w:pPr>
      <w:spacing w:line="240" w:lineRule="auto"/>
    </w:pPr>
    <w:rPr>
      <w:sz w:val="20"/>
      <w:szCs w:val="20"/>
    </w:rPr>
  </w:style>
  <w:style w:type="character" w:customStyle="1" w:styleId="CommentTextChar">
    <w:name w:val="Comment Text Char"/>
    <w:basedOn w:val="DefaultParagraphFont"/>
    <w:link w:val="CommentText"/>
    <w:uiPriority w:val="99"/>
    <w:rsid w:val="007C2F4E"/>
    <w:rPr>
      <w:kern w:val="0"/>
      <w:sz w:val="20"/>
      <w:szCs w:val="20"/>
      <w:lang w:val="en-US"/>
      <w14:ligatures w14:val="none"/>
    </w:rPr>
  </w:style>
  <w:style w:type="paragraph" w:styleId="CommentSubject">
    <w:name w:val="Comment Subject"/>
    <w:basedOn w:val="CommentText"/>
    <w:next w:val="CommentText"/>
    <w:link w:val="CommentSubjectChar"/>
    <w:uiPriority w:val="99"/>
    <w:semiHidden/>
    <w:unhideWhenUsed/>
    <w:rsid w:val="007C2F4E"/>
    <w:rPr>
      <w:b/>
      <w:bCs/>
    </w:rPr>
  </w:style>
  <w:style w:type="character" w:customStyle="1" w:styleId="CommentSubjectChar">
    <w:name w:val="Comment Subject Char"/>
    <w:basedOn w:val="CommentTextChar"/>
    <w:link w:val="CommentSubject"/>
    <w:uiPriority w:val="99"/>
    <w:semiHidden/>
    <w:rsid w:val="007C2F4E"/>
    <w:rPr>
      <w:b/>
      <w:bCs/>
      <w:kern w:val="0"/>
      <w:sz w:val="20"/>
      <w:szCs w:val="20"/>
      <w:lang w:val="en-US"/>
      <w14:ligatures w14:val="none"/>
    </w:rPr>
  </w:style>
  <w:style w:type="paragraph" w:styleId="Revision">
    <w:name w:val="Revision"/>
    <w:hidden/>
    <w:uiPriority w:val="99"/>
    <w:semiHidden/>
    <w:rsid w:val="00E62764"/>
    <w:pPr>
      <w:spacing w:after="0" w:line="240" w:lineRule="auto"/>
    </w:pPr>
    <w:rPr>
      <w:kern w:val="0"/>
      <w:sz w:val="22"/>
      <w:szCs w:val="22"/>
      <w:lang w:val="en-US"/>
      <w14:ligatures w14:val="none"/>
    </w:rPr>
  </w:style>
  <w:style w:type="character" w:styleId="FollowedHyperlink">
    <w:name w:val="FollowedHyperlink"/>
    <w:basedOn w:val="DefaultParagraphFont"/>
    <w:uiPriority w:val="99"/>
    <w:semiHidden/>
    <w:unhideWhenUsed/>
    <w:rsid w:val="003E41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8E37-F171-411A-B999-1FF06AB57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1960</Words>
  <Characters>11370</Characters>
  <Application>Microsoft Office Word</Application>
  <DocSecurity>0</DocSecurity>
  <Lines>94</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Marko Udras</cp:lastModifiedBy>
  <cp:revision>2</cp:revision>
  <dcterms:created xsi:type="dcterms:W3CDTF">2026-07-07T09:49:00Z</dcterms:created>
  <dcterms:modified xsi:type="dcterms:W3CDTF">2026-07-07T09:49:00Z</dcterms:modified>
</cp:coreProperties>
</file>